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4EB" w:rsidRPr="007D0CD6" w:rsidRDefault="001874EB">
      <w:pPr>
        <w:rPr>
          <w:rFonts w:eastAsia="SimSun"/>
        </w:rPr>
      </w:pPr>
      <w:bookmarkStart w:id="0" w:name="_GoBack"/>
      <w:bookmarkEnd w:id="0"/>
      <w:r>
        <w:rPr>
          <w:rFonts w:eastAsia="SimSun" w:hint="eastAsia"/>
          <w:lang w:eastAsia="zh-CN"/>
        </w:rPr>
        <w:t xml:space="preserve">            </w:t>
      </w:r>
      <w:r>
        <w:rPr>
          <w:rFonts w:asciiTheme="minorEastAsia" w:hAnsiTheme="minorEastAsia" w:hint="eastAsia"/>
          <w:lang w:eastAsia="zh-CN"/>
        </w:rPr>
        <w:t xml:space="preserve">　　　　　　　　　　　</w:t>
      </w:r>
      <w:r>
        <w:rPr>
          <w:rFonts w:eastAsia="SimSun" w:hint="eastAsia"/>
          <w:lang w:eastAsia="zh-CN"/>
        </w:rPr>
        <w:t xml:space="preserve"> </w:t>
      </w:r>
      <w:r w:rsidR="007D0CD6">
        <w:rPr>
          <w:rFonts w:hint="eastAsia"/>
        </w:rPr>
        <w:t>国際経済学会発表要旨</w:t>
      </w:r>
    </w:p>
    <w:p w:rsidR="001874EB" w:rsidRDefault="001874EB">
      <w:pPr>
        <w:rPr>
          <w:sz w:val="24"/>
          <w:szCs w:val="24"/>
        </w:rPr>
      </w:pPr>
      <w:r w:rsidRPr="001874EB">
        <w:rPr>
          <w:rFonts w:hint="eastAsia"/>
          <w:sz w:val="24"/>
          <w:szCs w:val="24"/>
        </w:rPr>
        <w:t>中国の「一帯一路」開放戦略と東アジア経済への影響</w:t>
      </w:r>
    </w:p>
    <w:p w:rsidR="001874EB" w:rsidRDefault="001874EB">
      <w:pPr>
        <w:rPr>
          <w:sz w:val="24"/>
          <w:szCs w:val="24"/>
        </w:rPr>
      </w:pPr>
      <w:r>
        <w:rPr>
          <w:rFonts w:hint="eastAsia"/>
          <w:sz w:val="24"/>
          <w:szCs w:val="24"/>
        </w:rPr>
        <w:t xml:space="preserve">　　　　　　　　　　　張紀潯</w:t>
      </w:r>
      <w:r>
        <w:rPr>
          <w:rFonts w:hint="eastAsia"/>
          <w:sz w:val="24"/>
          <w:szCs w:val="24"/>
        </w:rPr>
        <w:t>(</w:t>
      </w:r>
      <w:r w:rsidR="007D0CD6">
        <w:rPr>
          <w:rFonts w:hint="eastAsia"/>
          <w:sz w:val="24"/>
          <w:szCs w:val="24"/>
        </w:rPr>
        <w:t>城西大学教授</w:t>
      </w:r>
      <w:r>
        <w:rPr>
          <w:rFonts w:hint="eastAsia"/>
          <w:sz w:val="24"/>
          <w:szCs w:val="24"/>
        </w:rPr>
        <w:t>)</w:t>
      </w:r>
    </w:p>
    <w:p w:rsidR="001874EB" w:rsidRDefault="001874EB">
      <w:pPr>
        <w:rPr>
          <w:sz w:val="24"/>
          <w:szCs w:val="24"/>
        </w:rPr>
      </w:pPr>
    </w:p>
    <w:p w:rsidR="001874EB" w:rsidRDefault="001874EB">
      <w:pPr>
        <w:rPr>
          <w:sz w:val="24"/>
          <w:szCs w:val="24"/>
        </w:rPr>
      </w:pPr>
      <w:r>
        <w:rPr>
          <w:rFonts w:hint="eastAsia"/>
          <w:sz w:val="24"/>
          <w:szCs w:val="24"/>
        </w:rPr>
        <w:t>一、</w:t>
      </w:r>
      <w:r w:rsidRPr="001874EB">
        <w:rPr>
          <w:rFonts w:hint="eastAsia"/>
          <w:sz w:val="24"/>
          <w:szCs w:val="24"/>
        </w:rPr>
        <w:t>「一帯一路」</w:t>
      </w:r>
      <w:r>
        <w:rPr>
          <w:rFonts w:hint="eastAsia"/>
          <w:sz w:val="24"/>
          <w:szCs w:val="24"/>
        </w:rPr>
        <w:t>開放戦略とは</w:t>
      </w:r>
    </w:p>
    <w:p w:rsidR="001874EB" w:rsidRDefault="001874EB">
      <w:pPr>
        <w:rPr>
          <w:sz w:val="24"/>
          <w:szCs w:val="24"/>
        </w:rPr>
      </w:pPr>
      <w:r>
        <w:rPr>
          <w:rFonts w:hint="eastAsia"/>
          <w:sz w:val="24"/>
          <w:szCs w:val="24"/>
        </w:rPr>
        <w:t>１、</w:t>
      </w:r>
      <w:r w:rsidRPr="001874EB">
        <w:rPr>
          <w:rFonts w:hint="eastAsia"/>
          <w:sz w:val="24"/>
          <w:szCs w:val="24"/>
        </w:rPr>
        <w:t>「一帯一路」</w:t>
      </w:r>
      <w:r>
        <w:rPr>
          <w:rFonts w:hint="eastAsia"/>
          <w:sz w:val="24"/>
          <w:szCs w:val="24"/>
        </w:rPr>
        <w:t>開放戦略の定義</w:t>
      </w:r>
    </w:p>
    <w:p w:rsidR="001874EB" w:rsidRDefault="001874EB" w:rsidP="001874EB">
      <w:pPr>
        <w:ind w:firstLineChars="100" w:firstLine="240"/>
        <w:rPr>
          <w:sz w:val="24"/>
          <w:szCs w:val="24"/>
        </w:rPr>
      </w:pPr>
      <w:r w:rsidRPr="001874EB">
        <w:rPr>
          <w:rFonts w:hint="eastAsia"/>
          <w:sz w:val="24"/>
          <w:szCs w:val="24"/>
        </w:rPr>
        <w:t>「一帯一路」</w:t>
      </w:r>
      <w:r>
        <w:rPr>
          <w:rFonts w:hint="eastAsia"/>
          <w:sz w:val="24"/>
          <w:szCs w:val="24"/>
        </w:rPr>
        <w:t>(One</w:t>
      </w:r>
      <w:r>
        <w:rPr>
          <w:rFonts w:hint="eastAsia"/>
          <w:sz w:val="24"/>
          <w:szCs w:val="24"/>
        </w:rPr>
        <w:t xml:space="preserve">　</w:t>
      </w:r>
      <w:r>
        <w:rPr>
          <w:rFonts w:hint="eastAsia"/>
          <w:sz w:val="24"/>
          <w:szCs w:val="24"/>
        </w:rPr>
        <w:t>Belt</w:t>
      </w:r>
      <w:r>
        <w:rPr>
          <w:rFonts w:hint="eastAsia"/>
          <w:sz w:val="24"/>
          <w:szCs w:val="24"/>
        </w:rPr>
        <w:t xml:space="preserve">　</w:t>
      </w:r>
      <w:r>
        <w:rPr>
          <w:rFonts w:hint="eastAsia"/>
          <w:sz w:val="24"/>
          <w:szCs w:val="24"/>
        </w:rPr>
        <w:t>and</w:t>
      </w:r>
      <w:r>
        <w:rPr>
          <w:rFonts w:hint="eastAsia"/>
          <w:sz w:val="24"/>
          <w:szCs w:val="24"/>
        </w:rPr>
        <w:t xml:space="preserve">　</w:t>
      </w:r>
      <w:r>
        <w:rPr>
          <w:rFonts w:hint="eastAsia"/>
          <w:sz w:val="24"/>
          <w:szCs w:val="24"/>
        </w:rPr>
        <w:t>One</w:t>
      </w:r>
      <w:r>
        <w:rPr>
          <w:rFonts w:hint="eastAsia"/>
          <w:sz w:val="24"/>
          <w:szCs w:val="24"/>
        </w:rPr>
        <w:t xml:space="preserve">　</w:t>
      </w:r>
      <w:r>
        <w:rPr>
          <w:rFonts w:hint="eastAsia"/>
          <w:sz w:val="24"/>
          <w:szCs w:val="24"/>
        </w:rPr>
        <w:t>Road)</w:t>
      </w:r>
      <w:r>
        <w:rPr>
          <w:rFonts w:hint="eastAsia"/>
          <w:sz w:val="24"/>
          <w:szCs w:val="24"/>
        </w:rPr>
        <w:t>構想は</w:t>
      </w:r>
      <w:r>
        <w:rPr>
          <w:rFonts w:hint="eastAsia"/>
          <w:sz w:val="24"/>
          <w:szCs w:val="24"/>
        </w:rPr>
        <w:t>2013</w:t>
      </w:r>
      <w:r>
        <w:rPr>
          <w:rFonts w:hint="eastAsia"/>
          <w:sz w:val="24"/>
          <w:szCs w:val="24"/>
        </w:rPr>
        <w:t>年</w:t>
      </w:r>
      <w:r>
        <w:rPr>
          <w:rFonts w:hint="eastAsia"/>
          <w:sz w:val="24"/>
          <w:szCs w:val="24"/>
        </w:rPr>
        <w:t>9</w:t>
      </w:r>
      <w:r>
        <w:rPr>
          <w:rFonts w:hint="eastAsia"/>
          <w:sz w:val="24"/>
          <w:szCs w:val="24"/>
        </w:rPr>
        <w:t>月と</w:t>
      </w:r>
      <w:r>
        <w:rPr>
          <w:rFonts w:hint="eastAsia"/>
          <w:sz w:val="24"/>
          <w:szCs w:val="24"/>
        </w:rPr>
        <w:t>10</w:t>
      </w:r>
      <w:r>
        <w:rPr>
          <w:rFonts w:hint="eastAsia"/>
          <w:sz w:val="24"/>
          <w:szCs w:val="24"/>
        </w:rPr>
        <w:t>月に</w:t>
      </w:r>
      <w:r w:rsidR="007D0CD6">
        <w:rPr>
          <w:rFonts w:hint="eastAsia"/>
          <w:sz w:val="24"/>
          <w:szCs w:val="24"/>
        </w:rPr>
        <w:t>二回に</w:t>
      </w:r>
      <w:r>
        <w:rPr>
          <w:rFonts w:hint="eastAsia"/>
          <w:sz w:val="24"/>
          <w:szCs w:val="24"/>
        </w:rPr>
        <w:t>分けて習近平国家主席が国際舞台で初めて発表し</w:t>
      </w:r>
      <w:r w:rsidR="007D0CD6">
        <w:rPr>
          <w:rFonts w:hint="eastAsia"/>
          <w:sz w:val="24"/>
          <w:szCs w:val="24"/>
        </w:rPr>
        <w:t>たものである。</w:t>
      </w:r>
      <w:r>
        <w:rPr>
          <w:rFonts w:hint="eastAsia"/>
          <w:sz w:val="24"/>
          <w:szCs w:val="24"/>
        </w:rPr>
        <w:t>その後、約二年間の議論を通じて</w:t>
      </w:r>
      <w:r>
        <w:rPr>
          <w:rFonts w:hint="eastAsia"/>
          <w:sz w:val="24"/>
          <w:szCs w:val="24"/>
        </w:rPr>
        <w:t>2015</w:t>
      </w:r>
      <w:r>
        <w:rPr>
          <w:rFonts w:hint="eastAsia"/>
          <w:sz w:val="24"/>
          <w:szCs w:val="24"/>
        </w:rPr>
        <w:t>年</w:t>
      </w:r>
      <w:r>
        <w:rPr>
          <w:rFonts w:hint="eastAsia"/>
          <w:sz w:val="24"/>
          <w:szCs w:val="24"/>
        </w:rPr>
        <w:t>3</w:t>
      </w:r>
      <w:r>
        <w:rPr>
          <w:rFonts w:hint="eastAsia"/>
          <w:sz w:val="24"/>
          <w:szCs w:val="24"/>
        </w:rPr>
        <w:t>月</w:t>
      </w:r>
      <w:r>
        <w:rPr>
          <w:rFonts w:hint="eastAsia"/>
          <w:sz w:val="24"/>
          <w:szCs w:val="24"/>
        </w:rPr>
        <w:t>28</w:t>
      </w:r>
      <w:r>
        <w:rPr>
          <w:rFonts w:hint="eastAsia"/>
          <w:sz w:val="24"/>
          <w:szCs w:val="24"/>
        </w:rPr>
        <w:t>日に『</w:t>
      </w:r>
      <w:r w:rsidR="006A28C6">
        <w:rPr>
          <w:rFonts w:hint="eastAsia"/>
          <w:sz w:val="24"/>
          <w:szCs w:val="24"/>
        </w:rPr>
        <w:t>シルクロード経済ベルトと２１世紀海上シルクロート゛を推進し、ともに構築する構想と行動』</w:t>
      </w:r>
      <w:r w:rsidR="006A28C6">
        <w:rPr>
          <w:rFonts w:hint="eastAsia"/>
          <w:sz w:val="24"/>
          <w:szCs w:val="24"/>
        </w:rPr>
        <w:t>(</w:t>
      </w:r>
      <w:r w:rsidR="006A28C6">
        <w:rPr>
          <w:rFonts w:hint="eastAsia"/>
          <w:sz w:val="24"/>
          <w:szCs w:val="24"/>
        </w:rPr>
        <w:t>以下「</w:t>
      </w:r>
      <w:r w:rsidR="006A28C6" w:rsidRPr="001874EB">
        <w:rPr>
          <w:rFonts w:hint="eastAsia"/>
          <w:sz w:val="24"/>
          <w:szCs w:val="24"/>
        </w:rPr>
        <w:t>一帯一路</w:t>
      </w:r>
      <w:r w:rsidR="006A28C6">
        <w:rPr>
          <w:rFonts w:hint="eastAsia"/>
          <w:sz w:val="24"/>
          <w:szCs w:val="24"/>
        </w:rPr>
        <w:t>構想と行動」と略する</w:t>
      </w:r>
      <w:r w:rsidR="006A28C6">
        <w:rPr>
          <w:rFonts w:hint="eastAsia"/>
          <w:sz w:val="24"/>
          <w:szCs w:val="24"/>
        </w:rPr>
        <w:t>)</w:t>
      </w:r>
      <w:r w:rsidR="006A28C6">
        <w:rPr>
          <w:rFonts w:hint="eastAsia"/>
          <w:sz w:val="24"/>
          <w:szCs w:val="24"/>
        </w:rPr>
        <w:t>という中国の国家戦略に仕上げた。</w:t>
      </w:r>
    </w:p>
    <w:p w:rsidR="006A28C6" w:rsidRDefault="006A28C6" w:rsidP="001874EB">
      <w:pPr>
        <w:ind w:firstLineChars="100" w:firstLine="240"/>
        <w:rPr>
          <w:sz w:val="24"/>
          <w:szCs w:val="24"/>
        </w:rPr>
      </w:pPr>
      <w:r>
        <w:rPr>
          <w:rFonts w:hint="eastAsia"/>
          <w:sz w:val="24"/>
          <w:szCs w:val="24"/>
        </w:rPr>
        <w:t>それは中国から中央アジア、ロシアを経てヨーロッパに向かう「シルクロード経済ペルトと南中国海からインド洋を経てアフリカ大陸につながる「</w:t>
      </w:r>
      <w:r>
        <w:rPr>
          <w:rFonts w:hint="eastAsia"/>
          <w:sz w:val="24"/>
          <w:szCs w:val="24"/>
        </w:rPr>
        <w:t>21</w:t>
      </w:r>
      <w:r>
        <w:rPr>
          <w:rFonts w:hint="eastAsia"/>
          <w:sz w:val="24"/>
          <w:szCs w:val="24"/>
        </w:rPr>
        <w:t>世紀海上シルクロード」を開発し推進していく戦略的大構想であると定義する。</w:t>
      </w:r>
    </w:p>
    <w:p w:rsidR="007D0CD6" w:rsidRDefault="007D0CD6" w:rsidP="001874EB">
      <w:pPr>
        <w:ind w:firstLineChars="100" w:firstLine="240"/>
        <w:rPr>
          <w:sz w:val="24"/>
          <w:szCs w:val="24"/>
        </w:rPr>
      </w:pPr>
    </w:p>
    <w:p w:rsidR="006A28C6" w:rsidRDefault="006A28C6" w:rsidP="006A28C6">
      <w:pPr>
        <w:rPr>
          <w:sz w:val="24"/>
          <w:szCs w:val="24"/>
        </w:rPr>
      </w:pPr>
      <w:r>
        <w:rPr>
          <w:rFonts w:hint="eastAsia"/>
          <w:sz w:val="24"/>
          <w:szCs w:val="24"/>
        </w:rPr>
        <w:t>2.</w:t>
      </w:r>
      <w:r>
        <w:rPr>
          <w:rFonts w:hint="eastAsia"/>
          <w:sz w:val="24"/>
          <w:szCs w:val="24"/>
        </w:rPr>
        <w:t>構想の内容</w:t>
      </w:r>
    </w:p>
    <w:p w:rsidR="006A28C6" w:rsidRDefault="006A28C6" w:rsidP="006A28C6">
      <w:pPr>
        <w:rPr>
          <w:sz w:val="24"/>
          <w:szCs w:val="24"/>
        </w:rPr>
      </w:pPr>
      <w:r>
        <w:rPr>
          <w:rFonts w:hint="eastAsia"/>
          <w:sz w:val="24"/>
          <w:szCs w:val="24"/>
        </w:rPr>
        <w:t xml:space="preserve">　この</w:t>
      </w:r>
      <w:r w:rsidR="007D0CD6">
        <w:rPr>
          <w:rFonts w:hint="eastAsia"/>
          <w:sz w:val="24"/>
          <w:szCs w:val="24"/>
        </w:rPr>
        <w:t>戦略的</w:t>
      </w:r>
      <w:r>
        <w:rPr>
          <w:rFonts w:hint="eastAsia"/>
          <w:sz w:val="24"/>
          <w:szCs w:val="24"/>
        </w:rPr>
        <w:t>構想</w:t>
      </w:r>
      <w:r w:rsidR="007D0CD6">
        <w:rPr>
          <w:rFonts w:hint="eastAsia"/>
          <w:sz w:val="24"/>
          <w:szCs w:val="24"/>
        </w:rPr>
        <w:t>の内容</w:t>
      </w:r>
      <w:r>
        <w:rPr>
          <w:rFonts w:hint="eastAsia"/>
          <w:sz w:val="24"/>
          <w:szCs w:val="24"/>
        </w:rPr>
        <w:t>は国家改革委員会・外交部・商業部の３機関が発表したもの</w:t>
      </w:r>
      <w:r w:rsidR="007D0CD6">
        <w:rPr>
          <w:rFonts w:hint="eastAsia"/>
          <w:sz w:val="24"/>
          <w:szCs w:val="24"/>
        </w:rPr>
        <w:t>から伺うことができる。</w:t>
      </w:r>
      <w:r w:rsidR="007D0CD6">
        <w:rPr>
          <w:rFonts w:hint="eastAsia"/>
          <w:sz w:val="24"/>
          <w:szCs w:val="24"/>
        </w:rPr>
        <w:t>3</w:t>
      </w:r>
      <w:r w:rsidR="007D0CD6">
        <w:rPr>
          <w:rFonts w:hint="eastAsia"/>
          <w:sz w:val="24"/>
          <w:szCs w:val="24"/>
        </w:rPr>
        <w:t>機関が発表した構想は</w:t>
      </w:r>
      <w:r>
        <w:rPr>
          <w:rFonts w:hint="eastAsia"/>
          <w:sz w:val="24"/>
          <w:szCs w:val="24"/>
        </w:rPr>
        <w:t>わずか</w:t>
      </w:r>
      <w:r>
        <w:rPr>
          <w:rFonts w:hint="eastAsia"/>
          <w:sz w:val="24"/>
          <w:szCs w:val="24"/>
        </w:rPr>
        <w:t>9000</w:t>
      </w:r>
      <w:r>
        <w:rPr>
          <w:rFonts w:hint="eastAsia"/>
          <w:sz w:val="24"/>
          <w:szCs w:val="24"/>
        </w:rPr>
        <w:t>字に過ぎないが、時代</w:t>
      </w:r>
      <w:r w:rsidR="007D0CD6">
        <w:rPr>
          <w:rFonts w:hint="eastAsia"/>
          <w:sz w:val="24"/>
          <w:szCs w:val="24"/>
        </w:rPr>
        <w:t>の</w:t>
      </w:r>
      <w:r>
        <w:rPr>
          <w:rFonts w:hint="eastAsia"/>
          <w:sz w:val="24"/>
          <w:szCs w:val="24"/>
        </w:rPr>
        <w:t>背景、構築の原則、枠組み、協力の重点、協力メカニズム、</w:t>
      </w:r>
      <w:r w:rsidR="00D336EE">
        <w:rPr>
          <w:rFonts w:hint="eastAsia"/>
          <w:sz w:val="24"/>
          <w:szCs w:val="24"/>
        </w:rPr>
        <w:t>各地の対外開放の姿勢、中国の行動、未来に向けてという八項目に分かれる。ここでは</w:t>
      </w:r>
      <w:r w:rsidR="007D0CD6">
        <w:rPr>
          <w:rFonts w:hint="eastAsia"/>
          <w:sz w:val="24"/>
          <w:szCs w:val="24"/>
        </w:rPr>
        <w:t>、時間の都合で</w:t>
      </w:r>
      <w:r w:rsidR="00D336EE">
        <w:rPr>
          <w:rFonts w:hint="eastAsia"/>
          <w:sz w:val="24"/>
          <w:szCs w:val="24"/>
        </w:rPr>
        <w:t>①開</w:t>
      </w:r>
      <w:r w:rsidR="007D0CD6">
        <w:rPr>
          <w:rFonts w:hint="eastAsia"/>
          <w:sz w:val="24"/>
          <w:szCs w:val="24"/>
        </w:rPr>
        <w:t>発推進ルート、②推進方式と重点分野、③各地の役割という三大分野について検討</w:t>
      </w:r>
      <w:r w:rsidR="00D336EE">
        <w:rPr>
          <w:rFonts w:hint="eastAsia"/>
          <w:sz w:val="24"/>
          <w:szCs w:val="24"/>
        </w:rPr>
        <w:t>したい。</w:t>
      </w:r>
    </w:p>
    <w:p w:rsidR="007D0CD6" w:rsidRDefault="007D0CD6" w:rsidP="006A28C6">
      <w:pPr>
        <w:rPr>
          <w:sz w:val="24"/>
          <w:szCs w:val="24"/>
        </w:rPr>
      </w:pPr>
    </w:p>
    <w:p w:rsidR="00D336EE" w:rsidRDefault="00D336EE" w:rsidP="00D336EE">
      <w:pPr>
        <w:pStyle w:val="a3"/>
        <w:numPr>
          <w:ilvl w:val="0"/>
          <w:numId w:val="1"/>
        </w:numPr>
        <w:ind w:leftChars="0"/>
        <w:rPr>
          <w:sz w:val="24"/>
          <w:szCs w:val="24"/>
        </w:rPr>
      </w:pPr>
      <w:r>
        <w:rPr>
          <w:rFonts w:hint="eastAsia"/>
          <w:sz w:val="24"/>
          <w:szCs w:val="24"/>
        </w:rPr>
        <w:t>開発推進ルート</w:t>
      </w:r>
    </w:p>
    <w:p w:rsidR="007D0CD6" w:rsidRDefault="007D0CD6" w:rsidP="007D0CD6">
      <w:pPr>
        <w:pStyle w:val="a3"/>
        <w:ind w:leftChars="0" w:left="360"/>
        <w:rPr>
          <w:sz w:val="24"/>
          <w:szCs w:val="24"/>
        </w:rPr>
      </w:pPr>
    </w:p>
    <w:p w:rsidR="00D336EE" w:rsidRDefault="00D336EE" w:rsidP="00D336EE">
      <w:pPr>
        <w:pStyle w:val="a3"/>
        <w:ind w:leftChars="0" w:left="360"/>
        <w:rPr>
          <w:sz w:val="24"/>
          <w:szCs w:val="24"/>
        </w:rPr>
      </w:pPr>
      <w:r>
        <w:rPr>
          <w:rFonts w:ascii="SimSun" w:eastAsia="SimSun" w:hAnsi="SimSun" w:cs="ＭＳ Ｐゴシック"/>
          <w:noProof/>
          <w:color w:val="252525"/>
          <w:kern w:val="0"/>
          <w:sz w:val="24"/>
          <w:szCs w:val="24"/>
        </w:rPr>
        <w:drawing>
          <wp:inline distT="0" distB="0" distL="0" distR="0" wp14:anchorId="0C721C45" wp14:editId="10B34D8C">
            <wp:extent cx="5238750" cy="2019300"/>
            <wp:effectExtent l="0" t="0" r="0" b="0"/>
            <wp:docPr id="5" name="図 5" descr="央视发布权威“一带一路”版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央视发布权威“一带一路”版图(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2019300"/>
                    </a:xfrm>
                    <a:prstGeom prst="rect">
                      <a:avLst/>
                    </a:prstGeom>
                    <a:noFill/>
                    <a:ln>
                      <a:noFill/>
                    </a:ln>
                  </pic:spPr>
                </pic:pic>
              </a:graphicData>
            </a:graphic>
          </wp:inline>
        </w:drawing>
      </w:r>
    </w:p>
    <w:p w:rsidR="00D336EE" w:rsidRDefault="00D336EE" w:rsidP="00D336EE">
      <w:pPr>
        <w:pStyle w:val="a3"/>
        <w:ind w:leftChars="0" w:left="360"/>
        <w:rPr>
          <w:sz w:val="24"/>
          <w:szCs w:val="24"/>
        </w:rPr>
      </w:pPr>
      <w:r>
        <w:rPr>
          <w:rFonts w:ascii="SimSun" w:eastAsia="SimSun" w:hAnsi="SimSun" w:cs="ＭＳ Ｐゴシック"/>
          <w:noProof/>
          <w:color w:val="252525"/>
          <w:kern w:val="0"/>
          <w:sz w:val="24"/>
          <w:szCs w:val="24"/>
        </w:rPr>
        <w:lastRenderedPageBreak/>
        <w:drawing>
          <wp:inline distT="0" distB="0" distL="0" distR="0" wp14:anchorId="71A8E3A8" wp14:editId="7732A7D4">
            <wp:extent cx="5238750" cy="3714750"/>
            <wp:effectExtent l="0" t="0" r="0" b="0"/>
            <wp:docPr id="4" name="図 4" descr="央视发布权威“一带一路”版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央视发布权威“一带一路”版图(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714750"/>
                    </a:xfrm>
                    <a:prstGeom prst="rect">
                      <a:avLst/>
                    </a:prstGeom>
                    <a:noFill/>
                    <a:ln>
                      <a:noFill/>
                    </a:ln>
                  </pic:spPr>
                </pic:pic>
              </a:graphicData>
            </a:graphic>
          </wp:inline>
        </w:drawing>
      </w:r>
    </w:p>
    <w:p w:rsidR="00DD3AF0" w:rsidRDefault="00DD3AF0" w:rsidP="00D336EE">
      <w:pPr>
        <w:pStyle w:val="a3"/>
        <w:ind w:leftChars="0" w:left="360"/>
        <w:rPr>
          <w:sz w:val="24"/>
          <w:szCs w:val="24"/>
        </w:rPr>
      </w:pPr>
      <w:r>
        <w:rPr>
          <w:rFonts w:ascii="SimSun" w:eastAsia="SimSun" w:hAnsi="SimSun" w:cs="ＭＳ Ｐゴシック"/>
          <w:noProof/>
          <w:color w:val="252525"/>
          <w:kern w:val="0"/>
          <w:sz w:val="24"/>
          <w:szCs w:val="24"/>
        </w:rPr>
        <w:drawing>
          <wp:inline distT="0" distB="0" distL="0" distR="0" wp14:anchorId="59000D35" wp14:editId="72079087">
            <wp:extent cx="5238750" cy="3714750"/>
            <wp:effectExtent l="0" t="0" r="0" b="0"/>
            <wp:docPr id="2" name="図 2" descr="央视发布权威“一带一路”版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央视发布权威“一带一路”版图(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714750"/>
                    </a:xfrm>
                    <a:prstGeom prst="rect">
                      <a:avLst/>
                    </a:prstGeom>
                    <a:noFill/>
                    <a:ln>
                      <a:noFill/>
                    </a:ln>
                  </pic:spPr>
                </pic:pic>
              </a:graphicData>
            </a:graphic>
          </wp:inline>
        </w:drawing>
      </w:r>
    </w:p>
    <w:p w:rsidR="007D0CD6" w:rsidRDefault="007D0CD6" w:rsidP="00DD3AF0">
      <w:pPr>
        <w:pStyle w:val="a3"/>
        <w:ind w:leftChars="0" w:left="360" w:firstLineChars="100" w:firstLine="240"/>
        <w:rPr>
          <w:sz w:val="24"/>
          <w:szCs w:val="24"/>
        </w:rPr>
      </w:pPr>
    </w:p>
    <w:p w:rsidR="00DD3AF0" w:rsidRDefault="007D0CD6" w:rsidP="00DD3AF0">
      <w:pPr>
        <w:pStyle w:val="a3"/>
        <w:ind w:leftChars="0" w:left="360" w:firstLineChars="100" w:firstLine="240"/>
        <w:rPr>
          <w:sz w:val="24"/>
          <w:szCs w:val="24"/>
        </w:rPr>
      </w:pPr>
      <w:r>
        <w:rPr>
          <w:rFonts w:hint="eastAsia"/>
          <w:sz w:val="24"/>
          <w:szCs w:val="24"/>
        </w:rPr>
        <w:t>上記の三つの</w:t>
      </w:r>
      <w:r w:rsidR="00DD3AF0">
        <w:rPr>
          <w:rFonts w:hint="eastAsia"/>
          <w:sz w:val="24"/>
          <w:szCs w:val="24"/>
        </w:rPr>
        <w:t>図</w:t>
      </w:r>
      <w:r>
        <w:rPr>
          <w:rFonts w:hint="eastAsia"/>
          <w:sz w:val="24"/>
          <w:szCs w:val="24"/>
        </w:rPr>
        <w:t>はいずれも</w:t>
      </w:r>
      <w:r>
        <w:rPr>
          <w:rFonts w:hint="eastAsia"/>
          <w:sz w:val="24"/>
          <w:szCs w:val="24"/>
        </w:rPr>
        <w:t>CCTV</w:t>
      </w:r>
      <w:r>
        <w:rPr>
          <w:rFonts w:hint="eastAsia"/>
          <w:sz w:val="24"/>
          <w:szCs w:val="24"/>
        </w:rPr>
        <w:t>が発表したものである。これに</w:t>
      </w:r>
      <w:r w:rsidR="00DD3AF0">
        <w:rPr>
          <w:rFonts w:hint="eastAsia"/>
          <w:sz w:val="24"/>
          <w:szCs w:val="24"/>
        </w:rPr>
        <w:t>よれば、</w:t>
      </w:r>
      <w:r w:rsidR="00DD3AF0">
        <w:rPr>
          <w:rFonts w:hint="eastAsia"/>
          <w:sz w:val="24"/>
          <w:szCs w:val="24"/>
        </w:rPr>
        <w:lastRenderedPageBreak/>
        <w:t>シルクロード経済ベルトは</w:t>
      </w:r>
      <w:r w:rsidR="00FE66CB">
        <w:rPr>
          <w:rFonts w:hint="eastAsia"/>
          <w:sz w:val="24"/>
          <w:szCs w:val="24"/>
        </w:rPr>
        <w:t>三つのルートからなる。</w:t>
      </w:r>
      <w:r w:rsidR="00DD3AF0">
        <w:rPr>
          <w:rFonts w:hint="eastAsia"/>
          <w:sz w:val="24"/>
          <w:szCs w:val="24"/>
        </w:rPr>
        <w:t>①</w:t>
      </w:r>
      <w:r w:rsidR="00FE66CB">
        <w:rPr>
          <w:rFonts w:hint="eastAsia"/>
          <w:sz w:val="24"/>
          <w:szCs w:val="24"/>
        </w:rPr>
        <w:t>欧州・アジア大陸橋を中心とする北線ルート</w:t>
      </w:r>
      <w:r w:rsidR="00FE66CB">
        <w:rPr>
          <w:rFonts w:hint="eastAsia"/>
          <w:sz w:val="24"/>
          <w:szCs w:val="24"/>
        </w:rPr>
        <w:t>(</w:t>
      </w:r>
      <w:r w:rsidR="00FE66CB">
        <w:rPr>
          <w:rFonts w:hint="eastAsia"/>
          <w:sz w:val="24"/>
          <w:szCs w:val="24"/>
        </w:rPr>
        <w:t>北京―ロシアードイツー北欧</w:t>
      </w:r>
      <w:r w:rsidR="00FE66CB">
        <w:rPr>
          <w:rFonts w:hint="eastAsia"/>
          <w:sz w:val="24"/>
          <w:szCs w:val="24"/>
        </w:rPr>
        <w:t>)</w:t>
      </w:r>
      <w:r w:rsidR="00DD3AF0">
        <w:rPr>
          <w:rFonts w:hint="eastAsia"/>
          <w:sz w:val="24"/>
          <w:szCs w:val="24"/>
        </w:rPr>
        <w:t>、②</w:t>
      </w:r>
      <w:r w:rsidR="00FE66CB">
        <w:rPr>
          <w:rFonts w:hint="eastAsia"/>
          <w:sz w:val="24"/>
          <w:szCs w:val="24"/>
        </w:rPr>
        <w:t>石油・天然ガスパイプラインを主とする中線ルート</w:t>
      </w:r>
      <w:r w:rsidR="00FE66CB">
        <w:rPr>
          <w:rFonts w:hint="eastAsia"/>
          <w:sz w:val="24"/>
          <w:szCs w:val="24"/>
        </w:rPr>
        <w:t>(</w:t>
      </w:r>
      <w:r w:rsidR="00FE66CB">
        <w:rPr>
          <w:rFonts w:hint="eastAsia"/>
          <w:sz w:val="24"/>
          <w:szCs w:val="24"/>
        </w:rPr>
        <w:t>北京―西安―ウルムチーアフガニスタンーハサコスタンーハンガリーー北欧</w:t>
      </w:r>
      <w:r w:rsidR="00FE66CB">
        <w:rPr>
          <w:rFonts w:hint="eastAsia"/>
          <w:sz w:val="24"/>
          <w:szCs w:val="24"/>
        </w:rPr>
        <w:t>)</w:t>
      </w:r>
      <w:r w:rsidR="00DD3AF0">
        <w:rPr>
          <w:rFonts w:hint="eastAsia"/>
          <w:sz w:val="24"/>
          <w:szCs w:val="24"/>
        </w:rPr>
        <w:t>と③</w:t>
      </w:r>
      <w:r w:rsidR="00FE66CB">
        <w:rPr>
          <w:rFonts w:hint="eastAsia"/>
          <w:sz w:val="24"/>
          <w:szCs w:val="24"/>
        </w:rPr>
        <w:t>国境を跨る高速道路を中心とする南線ルート</w:t>
      </w:r>
      <w:r w:rsidR="00FE66CB">
        <w:rPr>
          <w:rFonts w:hint="eastAsia"/>
          <w:sz w:val="24"/>
          <w:szCs w:val="24"/>
        </w:rPr>
        <w:t>(</w:t>
      </w:r>
      <w:r w:rsidR="00FE66CB">
        <w:rPr>
          <w:rFonts w:hint="eastAsia"/>
          <w:sz w:val="24"/>
          <w:szCs w:val="24"/>
        </w:rPr>
        <w:t>北京―南新彊―パキスタンーイランーイラクードルコーイタリアースペイン</w:t>
      </w:r>
      <w:r w:rsidR="00FE66CB">
        <w:rPr>
          <w:rFonts w:hint="eastAsia"/>
          <w:sz w:val="24"/>
          <w:szCs w:val="24"/>
        </w:rPr>
        <w:t>)</w:t>
      </w:r>
      <w:r w:rsidR="00FE66CB">
        <w:rPr>
          <w:rFonts w:hint="eastAsia"/>
          <w:sz w:val="24"/>
          <w:szCs w:val="24"/>
        </w:rPr>
        <w:t>、である。</w:t>
      </w:r>
      <w:r w:rsidR="00E70663">
        <w:rPr>
          <w:rFonts w:hint="eastAsia"/>
          <w:sz w:val="24"/>
          <w:szCs w:val="24"/>
        </w:rPr>
        <w:t>シルクロード経済ベルトは中国から中央アジアとロシアを経て欧州、また中国から中央アジア・西アジアを経てペルシャ湾、地中海に到るルート、さらに中国から東南アジア、南アジア、インド洋に到るルートを開通することに重点が置かれる。</w:t>
      </w:r>
      <w:r w:rsidR="00DD3AF0">
        <w:rPr>
          <w:rFonts w:hint="eastAsia"/>
          <w:sz w:val="24"/>
          <w:szCs w:val="24"/>
        </w:rPr>
        <w:t>国務院発展研究中心学術委員会程国強秘書長は「一帯一路の一端は先進工業諸国の</w:t>
      </w:r>
      <w:r w:rsidR="00DD3AF0">
        <w:rPr>
          <w:rFonts w:hint="eastAsia"/>
          <w:sz w:val="24"/>
          <w:szCs w:val="24"/>
        </w:rPr>
        <w:t>EU</w:t>
      </w:r>
      <w:r w:rsidR="00DD3AF0">
        <w:rPr>
          <w:rFonts w:hint="eastAsia"/>
          <w:sz w:val="24"/>
          <w:szCs w:val="24"/>
        </w:rPr>
        <w:t>経済圏とつながり、その他の一端は世界経済発展センターである東アジア経済圏とつながり、これをもって中央アジア、西アジア、南アジア及び東南アジアの経済成長を促し、同時にアフリカ大陸に</w:t>
      </w:r>
      <w:r w:rsidR="00D04798">
        <w:rPr>
          <w:rFonts w:hint="eastAsia"/>
          <w:sz w:val="24"/>
          <w:szCs w:val="24"/>
        </w:rPr>
        <w:t>広がる」という重要な意義を持っている。</w:t>
      </w:r>
    </w:p>
    <w:p w:rsidR="00D04798" w:rsidRDefault="00D04798" w:rsidP="00DD3AF0">
      <w:pPr>
        <w:pStyle w:val="a3"/>
        <w:ind w:leftChars="0" w:left="360" w:firstLineChars="100" w:firstLine="240"/>
        <w:rPr>
          <w:sz w:val="24"/>
          <w:szCs w:val="24"/>
        </w:rPr>
      </w:pPr>
      <w:r>
        <w:rPr>
          <w:rFonts w:hint="eastAsia"/>
          <w:sz w:val="24"/>
          <w:szCs w:val="24"/>
        </w:rPr>
        <w:t>商業部総合</w:t>
      </w:r>
      <w:r w:rsidR="00E70663">
        <w:rPr>
          <w:rFonts w:hint="eastAsia"/>
          <w:sz w:val="24"/>
          <w:szCs w:val="24"/>
        </w:rPr>
        <w:t>司宋立洪副司長は「一帯一路は対外開放であり、国別の範囲を設けず</w:t>
      </w:r>
      <w:r>
        <w:rPr>
          <w:rFonts w:hint="eastAsia"/>
          <w:sz w:val="24"/>
          <w:szCs w:val="24"/>
        </w:rPr>
        <w:t>、排他的な制度を設けない、各国はそれぞれの特色を発揮し、ともにその恩恵を受ける」という。</w:t>
      </w:r>
    </w:p>
    <w:p w:rsidR="00D04798" w:rsidRDefault="00D04798" w:rsidP="00D04798">
      <w:pPr>
        <w:rPr>
          <w:sz w:val="24"/>
          <w:szCs w:val="24"/>
        </w:rPr>
      </w:pPr>
      <w:r>
        <w:rPr>
          <w:rFonts w:hint="eastAsia"/>
          <w:sz w:val="24"/>
          <w:szCs w:val="24"/>
        </w:rPr>
        <w:t xml:space="preserve">　</w:t>
      </w:r>
    </w:p>
    <w:p w:rsidR="00D04798" w:rsidRDefault="00D04798" w:rsidP="00D04798">
      <w:pPr>
        <w:pStyle w:val="a3"/>
        <w:numPr>
          <w:ilvl w:val="0"/>
          <w:numId w:val="1"/>
        </w:numPr>
        <w:ind w:leftChars="0"/>
        <w:rPr>
          <w:sz w:val="24"/>
          <w:szCs w:val="24"/>
        </w:rPr>
      </w:pPr>
      <w:r>
        <w:rPr>
          <w:rFonts w:hint="eastAsia"/>
          <w:sz w:val="24"/>
          <w:szCs w:val="24"/>
        </w:rPr>
        <w:t>推進方式と重点分野</w:t>
      </w:r>
    </w:p>
    <w:p w:rsidR="00D04798" w:rsidRDefault="00D04798" w:rsidP="00D04798">
      <w:pPr>
        <w:ind w:firstLineChars="100" w:firstLine="240"/>
        <w:rPr>
          <w:sz w:val="24"/>
          <w:szCs w:val="24"/>
        </w:rPr>
      </w:pPr>
      <w:r w:rsidRPr="00D04798">
        <w:rPr>
          <w:rFonts w:hint="eastAsia"/>
          <w:sz w:val="24"/>
          <w:szCs w:val="24"/>
        </w:rPr>
        <w:t>「一帯一路構想と分野」はすでに確立され、また確立されつつある関連国家、地域間に既存する各種</w:t>
      </w:r>
      <w:r w:rsidR="007D0CD6">
        <w:rPr>
          <w:rFonts w:hint="eastAsia"/>
          <w:sz w:val="24"/>
          <w:szCs w:val="24"/>
        </w:rPr>
        <w:t>経済</w:t>
      </w:r>
      <w:r w:rsidRPr="00D04798">
        <w:rPr>
          <w:rFonts w:hint="eastAsia"/>
          <w:sz w:val="24"/>
          <w:szCs w:val="24"/>
        </w:rPr>
        <w:t>メカニズムを活用することが前提とされ、更なる</w:t>
      </w:r>
      <w:r w:rsidR="00E70663">
        <w:rPr>
          <w:rFonts w:hint="eastAsia"/>
          <w:sz w:val="24"/>
          <w:szCs w:val="24"/>
        </w:rPr>
        <w:t>協力</w:t>
      </w:r>
      <w:r w:rsidRPr="00D04798">
        <w:rPr>
          <w:rFonts w:hint="eastAsia"/>
          <w:sz w:val="24"/>
          <w:szCs w:val="24"/>
        </w:rPr>
        <w:t>内容の充実と関係強化を図ることとされている。</w:t>
      </w:r>
      <w:r w:rsidR="00E70663">
        <w:rPr>
          <w:rFonts w:hint="eastAsia"/>
          <w:sz w:val="24"/>
          <w:szCs w:val="24"/>
        </w:rPr>
        <w:t>つまり「一帯一路構想</w:t>
      </w:r>
      <w:r w:rsidR="00E70663" w:rsidRPr="00D04798">
        <w:rPr>
          <w:rFonts w:hint="eastAsia"/>
          <w:sz w:val="24"/>
          <w:szCs w:val="24"/>
        </w:rPr>
        <w:t>」</w:t>
      </w:r>
      <w:r w:rsidR="00E70663">
        <w:rPr>
          <w:rFonts w:hint="eastAsia"/>
          <w:sz w:val="24"/>
          <w:szCs w:val="24"/>
        </w:rPr>
        <w:t>は「三通」通路、通航と通商を戦略的な課題としている。また過去</w:t>
      </w:r>
      <w:r w:rsidR="00E70663">
        <w:rPr>
          <w:rFonts w:hint="eastAsia"/>
          <w:sz w:val="24"/>
          <w:szCs w:val="24"/>
        </w:rPr>
        <w:t>30</w:t>
      </w:r>
      <w:r w:rsidR="00E70663">
        <w:rPr>
          <w:rFonts w:hint="eastAsia"/>
          <w:sz w:val="24"/>
          <w:szCs w:val="24"/>
        </w:rPr>
        <w:t>年間にわたって蓄積してきた地域統合、地域協力の戦略を踏まえて打ち出したものといってよい。</w:t>
      </w:r>
    </w:p>
    <w:p w:rsidR="00D04798" w:rsidRDefault="00E70663" w:rsidP="00D04798">
      <w:pPr>
        <w:ind w:firstLineChars="100" w:firstLine="240"/>
        <w:rPr>
          <w:sz w:val="24"/>
          <w:szCs w:val="24"/>
        </w:rPr>
      </w:pPr>
      <w:r>
        <w:rPr>
          <w:rFonts w:hint="eastAsia"/>
          <w:sz w:val="24"/>
          <w:szCs w:val="24"/>
        </w:rPr>
        <w:t>過去過去</w:t>
      </w:r>
      <w:r>
        <w:rPr>
          <w:rFonts w:hint="eastAsia"/>
          <w:sz w:val="24"/>
          <w:szCs w:val="24"/>
        </w:rPr>
        <w:t>30</w:t>
      </w:r>
      <w:r>
        <w:rPr>
          <w:rFonts w:hint="eastAsia"/>
          <w:sz w:val="24"/>
          <w:szCs w:val="24"/>
        </w:rPr>
        <w:t>年間にわたって中国は周辺諸国との間に種々さまざまな地域統合または地域協力の戦略を行ってきた。</w:t>
      </w:r>
      <w:r w:rsidR="00D04798">
        <w:rPr>
          <w:rFonts w:hint="eastAsia"/>
          <w:sz w:val="24"/>
          <w:szCs w:val="24"/>
        </w:rPr>
        <w:t>たとえば、上海協力機構</w:t>
      </w:r>
      <w:r w:rsidR="00D04798">
        <w:rPr>
          <w:rFonts w:hint="eastAsia"/>
          <w:sz w:val="24"/>
          <w:szCs w:val="24"/>
        </w:rPr>
        <w:t>(SCO)</w:t>
      </w:r>
      <w:r w:rsidR="00D04798">
        <w:rPr>
          <w:rFonts w:hint="eastAsia"/>
          <w:sz w:val="24"/>
          <w:szCs w:val="24"/>
        </w:rPr>
        <w:t>、中国</w:t>
      </w:r>
      <w:r w:rsidR="00D04798">
        <w:rPr>
          <w:rFonts w:hint="eastAsia"/>
          <w:sz w:val="24"/>
          <w:szCs w:val="24"/>
        </w:rPr>
        <w:t>ASEAN</w:t>
      </w:r>
      <w:r w:rsidR="00D04798">
        <w:rPr>
          <w:rFonts w:hint="eastAsia"/>
          <w:sz w:val="24"/>
          <w:szCs w:val="24"/>
        </w:rPr>
        <w:t>自由</w:t>
      </w:r>
      <w:r w:rsidR="00977997">
        <w:rPr>
          <w:rFonts w:hint="eastAsia"/>
          <w:sz w:val="24"/>
          <w:szCs w:val="24"/>
        </w:rPr>
        <w:t>貿易協定</w:t>
      </w:r>
      <w:r w:rsidR="00977997">
        <w:rPr>
          <w:rFonts w:hint="eastAsia"/>
          <w:sz w:val="24"/>
          <w:szCs w:val="24"/>
        </w:rPr>
        <w:t>(ACFTA)</w:t>
      </w:r>
      <w:r w:rsidR="00977997">
        <w:rPr>
          <w:rFonts w:hint="eastAsia"/>
          <w:sz w:val="24"/>
          <w:szCs w:val="24"/>
        </w:rPr>
        <w:t>、アジア相互協力信頼醸成措置会議</w:t>
      </w:r>
      <w:r w:rsidR="00977997">
        <w:rPr>
          <w:rFonts w:hint="eastAsia"/>
          <w:sz w:val="24"/>
          <w:szCs w:val="24"/>
        </w:rPr>
        <w:t>(CICA)</w:t>
      </w:r>
      <w:r w:rsidR="00977997">
        <w:rPr>
          <w:rFonts w:hint="eastAsia"/>
          <w:sz w:val="24"/>
          <w:szCs w:val="24"/>
        </w:rPr>
        <w:t>、大メコン圏</w:t>
      </w:r>
      <w:r w:rsidR="00977997">
        <w:rPr>
          <w:rFonts w:hint="eastAsia"/>
          <w:sz w:val="24"/>
          <w:szCs w:val="24"/>
        </w:rPr>
        <w:t>(GMS)</w:t>
      </w:r>
      <w:r w:rsidR="00977997">
        <w:rPr>
          <w:rFonts w:hint="eastAsia"/>
          <w:sz w:val="24"/>
          <w:szCs w:val="24"/>
        </w:rPr>
        <w:t>など十数のコミュニティー</w:t>
      </w:r>
      <w:r w:rsidR="00B71014">
        <w:rPr>
          <w:rFonts w:hint="eastAsia"/>
          <w:sz w:val="24"/>
          <w:szCs w:val="24"/>
        </w:rPr>
        <w:t>などがそれである。</w:t>
      </w:r>
    </w:p>
    <w:p w:rsidR="00977997" w:rsidRDefault="00977997" w:rsidP="00977997">
      <w:pPr>
        <w:ind w:firstLineChars="100" w:firstLine="240"/>
        <w:rPr>
          <w:sz w:val="24"/>
          <w:szCs w:val="24"/>
        </w:rPr>
      </w:pPr>
      <w:r>
        <w:rPr>
          <w:rFonts w:hint="eastAsia"/>
          <w:sz w:val="24"/>
          <w:szCs w:val="24"/>
        </w:rPr>
        <w:t>当面取り組む重点分野として</w:t>
      </w:r>
      <w:r w:rsidR="00B71014">
        <w:rPr>
          <w:rFonts w:hint="eastAsia"/>
          <w:sz w:val="24"/>
          <w:szCs w:val="24"/>
        </w:rPr>
        <w:t>いろいろと考えられるが、中では特に以下の</w:t>
      </w:r>
      <w:r>
        <w:rPr>
          <w:rFonts w:hint="eastAsia"/>
          <w:sz w:val="24"/>
          <w:szCs w:val="24"/>
        </w:rPr>
        <w:t>項目が</w:t>
      </w:r>
      <w:r w:rsidR="00B71014">
        <w:rPr>
          <w:rFonts w:hint="eastAsia"/>
          <w:sz w:val="24"/>
          <w:szCs w:val="24"/>
        </w:rPr>
        <w:t>とり</w:t>
      </w:r>
      <w:r>
        <w:rPr>
          <w:rFonts w:hint="eastAsia"/>
          <w:sz w:val="24"/>
          <w:szCs w:val="24"/>
        </w:rPr>
        <w:t>挙げられる。交通インフラのボトルネックの早期解消、</w:t>
      </w:r>
      <w:r>
        <w:rPr>
          <w:rFonts w:hint="eastAsia"/>
          <w:sz w:val="24"/>
          <w:szCs w:val="24"/>
        </w:rPr>
        <w:t>400</w:t>
      </w:r>
      <w:r>
        <w:rPr>
          <w:rFonts w:hint="eastAsia"/>
          <w:sz w:val="24"/>
          <w:szCs w:val="24"/>
        </w:rPr>
        <w:t>億ドルからシルクロード基金</w:t>
      </w:r>
      <w:r w:rsidR="00B71014">
        <w:rPr>
          <w:rFonts w:hint="eastAsia"/>
          <w:sz w:val="24"/>
          <w:szCs w:val="24"/>
        </w:rPr>
        <w:t>の設立</w:t>
      </w:r>
      <w:r>
        <w:rPr>
          <w:rFonts w:hint="eastAsia"/>
          <w:sz w:val="24"/>
          <w:szCs w:val="24"/>
        </w:rPr>
        <w:t>、</w:t>
      </w:r>
      <w:r>
        <w:rPr>
          <w:rFonts w:hint="eastAsia"/>
          <w:sz w:val="24"/>
          <w:szCs w:val="24"/>
        </w:rPr>
        <w:t>AIIB</w:t>
      </w:r>
      <w:r>
        <w:rPr>
          <w:rFonts w:hint="eastAsia"/>
          <w:sz w:val="24"/>
          <w:szCs w:val="24"/>
        </w:rPr>
        <w:t>の</w:t>
      </w:r>
      <w:r w:rsidR="00B71014">
        <w:rPr>
          <w:rFonts w:hint="eastAsia"/>
          <w:sz w:val="24"/>
          <w:szCs w:val="24"/>
        </w:rPr>
        <w:t>設立による資金ルートの確保</w:t>
      </w:r>
      <w:r>
        <w:rPr>
          <w:rFonts w:hint="eastAsia"/>
          <w:sz w:val="24"/>
          <w:szCs w:val="24"/>
        </w:rPr>
        <w:t>、観光、教育助成など人的資源の開発による国民間の信頼醸成と親善促進を図ること</w:t>
      </w:r>
      <w:r w:rsidR="00B71014">
        <w:rPr>
          <w:rFonts w:hint="eastAsia"/>
          <w:sz w:val="24"/>
          <w:szCs w:val="24"/>
        </w:rPr>
        <w:t>など</w:t>
      </w:r>
      <w:r>
        <w:rPr>
          <w:rFonts w:hint="eastAsia"/>
          <w:sz w:val="24"/>
          <w:szCs w:val="24"/>
        </w:rPr>
        <w:t>が重要視されている。</w:t>
      </w:r>
    </w:p>
    <w:p w:rsidR="0007189D" w:rsidRDefault="00977997" w:rsidP="00B71014">
      <w:pPr>
        <w:ind w:firstLineChars="100" w:firstLine="240"/>
        <w:rPr>
          <w:sz w:val="24"/>
          <w:szCs w:val="24"/>
        </w:rPr>
      </w:pPr>
      <w:r>
        <w:rPr>
          <w:rFonts w:hint="eastAsia"/>
          <w:sz w:val="24"/>
          <w:szCs w:val="24"/>
        </w:rPr>
        <w:t>地図の上でいくつかのルートを描くことは難しくないが、</w:t>
      </w:r>
      <w:r w:rsidR="00B71014">
        <w:rPr>
          <w:rFonts w:hint="eastAsia"/>
          <w:sz w:val="24"/>
          <w:szCs w:val="24"/>
        </w:rPr>
        <w:t>この</w:t>
      </w:r>
      <w:r>
        <w:rPr>
          <w:rFonts w:hint="eastAsia"/>
          <w:sz w:val="24"/>
          <w:szCs w:val="24"/>
        </w:rPr>
        <w:t>青図をいかに実現するかは重要である。</w:t>
      </w:r>
      <w:r w:rsidR="0007189D">
        <w:rPr>
          <w:rFonts w:hint="eastAsia"/>
          <w:sz w:val="24"/>
          <w:szCs w:val="24"/>
        </w:rPr>
        <w:t>鍵は通ということにある。政策の透明度、施設の関連性の向上、貿易と資金の供給などやるべきことは多い。</w:t>
      </w:r>
    </w:p>
    <w:p w:rsidR="007202DC" w:rsidRDefault="007202DC" w:rsidP="007202DC">
      <w:pPr>
        <w:pStyle w:val="a3"/>
        <w:numPr>
          <w:ilvl w:val="0"/>
          <w:numId w:val="1"/>
        </w:numPr>
        <w:ind w:leftChars="0"/>
        <w:rPr>
          <w:sz w:val="24"/>
          <w:szCs w:val="24"/>
        </w:rPr>
      </w:pPr>
      <w:r>
        <w:rPr>
          <w:rFonts w:hint="eastAsia"/>
          <w:sz w:val="24"/>
          <w:szCs w:val="24"/>
        </w:rPr>
        <w:lastRenderedPageBreak/>
        <w:t>構想への世界の関心</w:t>
      </w:r>
    </w:p>
    <w:p w:rsidR="0007189D" w:rsidRPr="007202DC" w:rsidRDefault="0007189D" w:rsidP="007202DC">
      <w:pPr>
        <w:ind w:firstLineChars="100" w:firstLine="240"/>
        <w:rPr>
          <w:sz w:val="24"/>
          <w:szCs w:val="24"/>
        </w:rPr>
      </w:pPr>
      <w:r w:rsidRPr="007202DC">
        <w:rPr>
          <w:rFonts w:hint="eastAsia"/>
          <w:sz w:val="24"/>
          <w:szCs w:val="24"/>
        </w:rPr>
        <w:t>いま世界ですでに</w:t>
      </w:r>
      <w:r w:rsidRPr="007202DC">
        <w:rPr>
          <w:rFonts w:hint="eastAsia"/>
          <w:sz w:val="24"/>
          <w:szCs w:val="24"/>
        </w:rPr>
        <w:t>60</w:t>
      </w:r>
      <w:r w:rsidRPr="007202DC">
        <w:rPr>
          <w:rFonts w:hint="eastAsia"/>
          <w:sz w:val="24"/>
          <w:szCs w:val="24"/>
        </w:rPr>
        <w:t>か国、地域はこの構想に関心を持つ表明を示した。これらの国の人口は</w:t>
      </w:r>
      <w:r w:rsidRPr="007202DC">
        <w:rPr>
          <w:rFonts w:hint="eastAsia"/>
          <w:sz w:val="24"/>
          <w:szCs w:val="24"/>
        </w:rPr>
        <w:t>44</w:t>
      </w:r>
      <w:r w:rsidRPr="007202DC">
        <w:rPr>
          <w:rFonts w:hint="eastAsia"/>
          <w:sz w:val="24"/>
          <w:szCs w:val="24"/>
        </w:rPr>
        <w:t>億人、</w:t>
      </w:r>
      <w:r w:rsidRPr="007202DC">
        <w:rPr>
          <w:rFonts w:hint="eastAsia"/>
          <w:sz w:val="24"/>
          <w:szCs w:val="24"/>
        </w:rPr>
        <w:t>GDP</w:t>
      </w:r>
      <w:r w:rsidRPr="007202DC">
        <w:rPr>
          <w:rFonts w:hint="eastAsia"/>
          <w:sz w:val="24"/>
          <w:szCs w:val="24"/>
        </w:rPr>
        <w:t>は</w:t>
      </w:r>
      <w:r w:rsidRPr="007202DC">
        <w:rPr>
          <w:rFonts w:hint="eastAsia"/>
          <w:sz w:val="24"/>
          <w:szCs w:val="24"/>
        </w:rPr>
        <w:t>21</w:t>
      </w:r>
      <w:r w:rsidRPr="007202DC">
        <w:rPr>
          <w:rFonts w:hint="eastAsia"/>
          <w:sz w:val="24"/>
          <w:szCs w:val="24"/>
        </w:rPr>
        <w:t>兆ドル、世界全体の</w:t>
      </w:r>
      <w:r w:rsidRPr="007202DC">
        <w:rPr>
          <w:rFonts w:hint="eastAsia"/>
          <w:sz w:val="24"/>
          <w:szCs w:val="24"/>
        </w:rPr>
        <w:t>63%</w:t>
      </w:r>
      <w:r w:rsidRPr="007202DC">
        <w:rPr>
          <w:rFonts w:hint="eastAsia"/>
          <w:sz w:val="24"/>
          <w:szCs w:val="24"/>
        </w:rPr>
        <w:t>と</w:t>
      </w:r>
      <w:r w:rsidRPr="007202DC">
        <w:rPr>
          <w:rFonts w:hint="eastAsia"/>
          <w:sz w:val="24"/>
          <w:szCs w:val="24"/>
        </w:rPr>
        <w:t>29%</w:t>
      </w:r>
      <w:r w:rsidRPr="007202DC">
        <w:rPr>
          <w:rFonts w:hint="eastAsia"/>
          <w:sz w:val="24"/>
          <w:szCs w:val="24"/>
        </w:rPr>
        <w:t>をそれぞれ占めている。</w:t>
      </w:r>
    </w:p>
    <w:p w:rsidR="0007189D" w:rsidRDefault="0007189D" w:rsidP="0007189D">
      <w:pPr>
        <w:ind w:firstLineChars="100" w:firstLine="240"/>
        <w:rPr>
          <w:sz w:val="24"/>
          <w:szCs w:val="24"/>
        </w:rPr>
      </w:pPr>
      <w:r>
        <w:rPr>
          <w:rFonts w:hint="eastAsia"/>
          <w:sz w:val="24"/>
          <w:szCs w:val="24"/>
        </w:rPr>
        <w:t>アジア開発銀行によれば、</w:t>
      </w:r>
      <w:r>
        <w:rPr>
          <w:rFonts w:hint="eastAsia"/>
          <w:sz w:val="24"/>
          <w:szCs w:val="24"/>
        </w:rPr>
        <w:t>2020</w:t>
      </w:r>
      <w:r>
        <w:rPr>
          <w:rFonts w:hint="eastAsia"/>
          <w:sz w:val="24"/>
          <w:szCs w:val="24"/>
        </w:rPr>
        <w:t>年までにアジア地域のインフラ建設だけでも</w:t>
      </w:r>
      <w:r>
        <w:rPr>
          <w:rFonts w:hint="eastAsia"/>
          <w:sz w:val="24"/>
          <w:szCs w:val="24"/>
        </w:rPr>
        <w:t>7300</w:t>
      </w:r>
      <w:r>
        <w:rPr>
          <w:rFonts w:hint="eastAsia"/>
          <w:sz w:val="24"/>
          <w:szCs w:val="24"/>
        </w:rPr>
        <w:t>億ドルの資金が足りない。したがって、</w:t>
      </w:r>
      <w:r>
        <w:rPr>
          <w:rFonts w:hint="eastAsia"/>
          <w:sz w:val="24"/>
          <w:szCs w:val="24"/>
        </w:rPr>
        <w:t>AIIB</w:t>
      </w:r>
      <w:r>
        <w:rPr>
          <w:rFonts w:hint="eastAsia"/>
          <w:sz w:val="24"/>
          <w:szCs w:val="24"/>
        </w:rPr>
        <w:t>でもシルクロード基金でも「一帯一路」の建設資金問題の解決に重点が置かれる。</w:t>
      </w:r>
    </w:p>
    <w:p w:rsidR="007202DC" w:rsidRDefault="007202DC" w:rsidP="0007189D">
      <w:pPr>
        <w:ind w:firstLineChars="100" w:firstLine="240"/>
        <w:rPr>
          <w:sz w:val="24"/>
          <w:szCs w:val="24"/>
        </w:rPr>
      </w:pPr>
    </w:p>
    <w:p w:rsidR="0007189D" w:rsidRDefault="0007189D" w:rsidP="0007189D">
      <w:pPr>
        <w:pStyle w:val="a3"/>
        <w:numPr>
          <w:ilvl w:val="0"/>
          <w:numId w:val="1"/>
        </w:numPr>
        <w:ind w:leftChars="0"/>
        <w:rPr>
          <w:sz w:val="24"/>
          <w:szCs w:val="24"/>
        </w:rPr>
      </w:pPr>
      <w:r>
        <w:rPr>
          <w:rFonts w:hint="eastAsia"/>
          <w:sz w:val="24"/>
          <w:szCs w:val="24"/>
        </w:rPr>
        <w:t>国内における役割分担</w:t>
      </w:r>
    </w:p>
    <w:p w:rsidR="008607B4" w:rsidRPr="008607B4" w:rsidRDefault="007202DC" w:rsidP="007202DC">
      <w:pPr>
        <w:ind w:firstLineChars="100" w:firstLine="240"/>
        <w:rPr>
          <w:sz w:val="24"/>
          <w:szCs w:val="24"/>
        </w:rPr>
      </w:pPr>
      <w:r>
        <w:rPr>
          <w:rFonts w:hint="eastAsia"/>
          <w:sz w:val="24"/>
          <w:szCs w:val="24"/>
        </w:rPr>
        <w:t>国内において西北６省区</w:t>
      </w:r>
      <w:r w:rsidR="001D2950">
        <w:rPr>
          <w:rFonts w:hint="eastAsia"/>
          <w:sz w:val="24"/>
          <w:szCs w:val="24"/>
        </w:rPr>
        <w:t>(</w:t>
      </w:r>
      <w:r w:rsidR="001D2950">
        <w:rPr>
          <w:rFonts w:hint="eastAsia"/>
          <w:sz w:val="24"/>
          <w:szCs w:val="24"/>
        </w:rPr>
        <w:t>陜西、甘粛、青海、寧夏、新彊</w:t>
      </w:r>
      <w:r w:rsidR="001D2950">
        <w:rPr>
          <w:rFonts w:hint="eastAsia"/>
          <w:sz w:val="24"/>
          <w:szCs w:val="24"/>
        </w:rPr>
        <w:t>)</w:t>
      </w:r>
      <w:r>
        <w:rPr>
          <w:rFonts w:hint="eastAsia"/>
          <w:sz w:val="24"/>
          <w:szCs w:val="24"/>
        </w:rPr>
        <w:t>、</w:t>
      </w:r>
      <w:r w:rsidR="001D2950">
        <w:rPr>
          <w:rFonts w:hint="eastAsia"/>
          <w:sz w:val="24"/>
          <w:szCs w:val="24"/>
        </w:rPr>
        <w:t>西南</w:t>
      </w:r>
      <w:r w:rsidR="001D2950">
        <w:rPr>
          <w:rFonts w:hint="eastAsia"/>
          <w:sz w:val="24"/>
          <w:szCs w:val="24"/>
        </w:rPr>
        <w:t>4</w:t>
      </w:r>
      <w:r w:rsidR="001D2950">
        <w:rPr>
          <w:rFonts w:hint="eastAsia"/>
          <w:sz w:val="24"/>
          <w:szCs w:val="24"/>
        </w:rPr>
        <w:t>省市</w:t>
      </w:r>
      <w:r w:rsidR="001D2950">
        <w:rPr>
          <w:rFonts w:hint="eastAsia"/>
          <w:sz w:val="24"/>
          <w:szCs w:val="24"/>
        </w:rPr>
        <w:t>(</w:t>
      </w:r>
      <w:r w:rsidR="001D2950">
        <w:rPr>
          <w:rFonts w:hint="eastAsia"/>
          <w:sz w:val="24"/>
          <w:szCs w:val="24"/>
        </w:rPr>
        <w:t>重慶、四川、雲南、廣西</w:t>
      </w:r>
      <w:r w:rsidR="001D2950">
        <w:rPr>
          <w:rFonts w:hint="eastAsia"/>
          <w:sz w:val="24"/>
          <w:szCs w:val="24"/>
        </w:rPr>
        <w:t>)</w:t>
      </w:r>
      <w:r w:rsidR="001D2950">
        <w:rPr>
          <w:rFonts w:hint="eastAsia"/>
          <w:sz w:val="24"/>
          <w:szCs w:val="24"/>
        </w:rPr>
        <w:t>と東部</w:t>
      </w:r>
      <w:r w:rsidR="001D2950">
        <w:rPr>
          <w:rFonts w:hint="eastAsia"/>
          <w:sz w:val="24"/>
          <w:szCs w:val="24"/>
        </w:rPr>
        <w:t>5</w:t>
      </w:r>
      <w:r w:rsidR="001D2950">
        <w:rPr>
          <w:rFonts w:hint="eastAsia"/>
          <w:sz w:val="24"/>
          <w:szCs w:val="24"/>
        </w:rPr>
        <w:t>省</w:t>
      </w:r>
      <w:r w:rsidR="001D2950">
        <w:rPr>
          <w:rFonts w:hint="eastAsia"/>
          <w:sz w:val="24"/>
          <w:szCs w:val="24"/>
        </w:rPr>
        <w:t>(</w:t>
      </w:r>
      <w:r w:rsidR="001D2950">
        <w:rPr>
          <w:rFonts w:hint="eastAsia"/>
          <w:sz w:val="24"/>
          <w:szCs w:val="24"/>
        </w:rPr>
        <w:t>江蘇、折江、福建，広東、海南</w:t>
      </w:r>
      <w:r w:rsidR="001D2950">
        <w:rPr>
          <w:rFonts w:hint="eastAsia"/>
          <w:sz w:val="24"/>
          <w:szCs w:val="24"/>
        </w:rPr>
        <w:t>)</w:t>
      </w:r>
      <w:r w:rsidR="001D2950">
        <w:rPr>
          <w:rFonts w:hint="eastAsia"/>
          <w:sz w:val="24"/>
          <w:szCs w:val="24"/>
        </w:rPr>
        <w:t>及び</w:t>
      </w:r>
      <w:r>
        <w:rPr>
          <w:rFonts w:hint="eastAsia"/>
          <w:sz w:val="24"/>
          <w:szCs w:val="24"/>
        </w:rPr>
        <w:t>東北</w:t>
      </w:r>
      <w:r>
        <w:rPr>
          <w:rFonts w:hint="eastAsia"/>
          <w:sz w:val="24"/>
          <w:szCs w:val="24"/>
        </w:rPr>
        <w:t>3</w:t>
      </w:r>
      <w:r w:rsidR="001D2950">
        <w:rPr>
          <w:rFonts w:hint="eastAsia"/>
          <w:sz w:val="24"/>
          <w:szCs w:val="24"/>
        </w:rPr>
        <w:t>省</w:t>
      </w:r>
      <w:r>
        <w:rPr>
          <w:rFonts w:hint="eastAsia"/>
          <w:sz w:val="24"/>
          <w:szCs w:val="24"/>
        </w:rPr>
        <w:t>が</w:t>
      </w:r>
      <w:r w:rsidR="001D2950">
        <w:rPr>
          <w:rFonts w:hint="eastAsia"/>
          <w:sz w:val="24"/>
          <w:szCs w:val="24"/>
        </w:rPr>
        <w:t>一帯一路国家戦略に参加したいと</w:t>
      </w:r>
      <w:r w:rsidR="008607B4">
        <w:rPr>
          <w:rFonts w:hint="eastAsia"/>
          <w:sz w:val="24"/>
          <w:szCs w:val="24"/>
        </w:rPr>
        <w:t>訴えた。表</w:t>
      </w:r>
      <w:r w:rsidR="008607B4">
        <w:rPr>
          <w:rFonts w:hint="eastAsia"/>
          <w:sz w:val="24"/>
          <w:szCs w:val="24"/>
        </w:rPr>
        <w:t>1</w:t>
      </w:r>
      <w:r w:rsidR="008607B4">
        <w:rPr>
          <w:rFonts w:hint="eastAsia"/>
          <w:sz w:val="24"/>
          <w:szCs w:val="24"/>
        </w:rPr>
        <w:t>は一帯戦略と９省</w:t>
      </w:r>
      <w:r w:rsidR="008607B4">
        <w:rPr>
          <w:rFonts w:hint="eastAsia"/>
          <w:sz w:val="24"/>
          <w:szCs w:val="24"/>
        </w:rPr>
        <w:t>(</w:t>
      </w:r>
      <w:r w:rsidR="008607B4">
        <w:rPr>
          <w:rFonts w:hint="eastAsia"/>
          <w:sz w:val="24"/>
          <w:szCs w:val="24"/>
        </w:rPr>
        <w:t>自治区</w:t>
      </w:r>
      <w:r w:rsidR="008607B4">
        <w:rPr>
          <w:rFonts w:hint="eastAsia"/>
          <w:sz w:val="24"/>
          <w:szCs w:val="24"/>
        </w:rPr>
        <w:t>)</w:t>
      </w:r>
      <w:r w:rsidR="008607B4">
        <w:rPr>
          <w:rFonts w:hint="eastAsia"/>
          <w:sz w:val="24"/>
          <w:szCs w:val="24"/>
        </w:rPr>
        <w:t>の位置づけを描いた。</w:t>
      </w:r>
    </w:p>
    <w:p w:rsidR="007202DC" w:rsidRDefault="007202DC" w:rsidP="007202DC">
      <w:pPr>
        <w:ind w:firstLineChars="100" w:firstLine="240"/>
        <w:rPr>
          <w:sz w:val="24"/>
          <w:szCs w:val="24"/>
        </w:rPr>
      </w:pPr>
      <w:r>
        <w:rPr>
          <w:rFonts w:hint="eastAsia"/>
          <w:sz w:val="24"/>
          <w:szCs w:val="24"/>
        </w:rPr>
        <w:t>たとえば、新彊自治区は中央アジアを経由するシルクロード経済ベルトの中心地となり、</w:t>
      </w:r>
      <w:r w:rsidR="008607B4">
        <w:rPr>
          <w:rFonts w:hint="eastAsia"/>
          <w:sz w:val="24"/>
          <w:szCs w:val="24"/>
        </w:rPr>
        <w:t>甘粛はゴールドであり、</w:t>
      </w:r>
      <w:r>
        <w:rPr>
          <w:rFonts w:hint="eastAsia"/>
          <w:sz w:val="24"/>
          <w:szCs w:val="24"/>
        </w:rPr>
        <w:t>雲南、広西自治区は東南アジアを経由するシルクロードペルトの重点起点となる。また、福建省は</w:t>
      </w:r>
      <w:r>
        <w:rPr>
          <w:rFonts w:hint="eastAsia"/>
          <w:sz w:val="24"/>
          <w:szCs w:val="24"/>
        </w:rPr>
        <w:t>21</w:t>
      </w:r>
      <w:r>
        <w:rPr>
          <w:rFonts w:hint="eastAsia"/>
          <w:sz w:val="24"/>
          <w:szCs w:val="24"/>
        </w:rPr>
        <w:t>世紀海上シルクロードのメイン窓口となる。</w:t>
      </w:r>
    </w:p>
    <w:p w:rsidR="007202DC" w:rsidRDefault="007202DC" w:rsidP="007202DC">
      <w:pPr>
        <w:ind w:firstLineChars="100" w:firstLine="240"/>
        <w:rPr>
          <w:rFonts w:eastAsia="SimSun"/>
          <w:sz w:val="24"/>
          <w:szCs w:val="24"/>
        </w:rPr>
      </w:pPr>
      <w:r>
        <w:rPr>
          <w:rFonts w:hint="eastAsia"/>
          <w:sz w:val="24"/>
          <w:szCs w:val="24"/>
        </w:rPr>
        <w:t>産業別にみれば、高速鉄道関連産業、港湾と道路建設業種、運輸物流業種、電力事業産業、建築材料業界にとって大きなプラス材料になると思われる。</w:t>
      </w:r>
    </w:p>
    <w:p w:rsidR="001D2950" w:rsidRPr="001D2950" w:rsidRDefault="001D2950" w:rsidP="007202DC">
      <w:pPr>
        <w:ind w:firstLineChars="100" w:firstLine="240"/>
        <w:rPr>
          <w:sz w:val="24"/>
          <w:szCs w:val="24"/>
        </w:rPr>
      </w:pPr>
      <w:r>
        <w:rPr>
          <w:rFonts w:hint="eastAsia"/>
          <w:sz w:val="24"/>
          <w:szCs w:val="24"/>
        </w:rPr>
        <w:t>表</w:t>
      </w:r>
      <w:r>
        <w:rPr>
          <w:rFonts w:hint="eastAsia"/>
          <w:sz w:val="24"/>
          <w:szCs w:val="24"/>
        </w:rPr>
        <w:t>1</w:t>
      </w:r>
      <w:r>
        <w:rPr>
          <w:rFonts w:hint="eastAsia"/>
          <w:sz w:val="24"/>
          <w:szCs w:val="24"/>
        </w:rPr>
        <w:t xml:space="preserve">　一帯戦略</w:t>
      </w:r>
      <w:r w:rsidR="008607B4">
        <w:rPr>
          <w:rFonts w:hint="eastAsia"/>
          <w:sz w:val="24"/>
          <w:szCs w:val="24"/>
        </w:rPr>
        <w:t>(</w:t>
      </w:r>
      <w:r w:rsidR="008607B4">
        <w:rPr>
          <w:rFonts w:hint="eastAsia"/>
          <w:sz w:val="24"/>
          <w:szCs w:val="24"/>
        </w:rPr>
        <w:t>シルクロード経済ベルト</w:t>
      </w:r>
      <w:r w:rsidR="008607B4">
        <w:rPr>
          <w:rFonts w:hint="eastAsia"/>
          <w:sz w:val="24"/>
          <w:szCs w:val="24"/>
        </w:rPr>
        <w:t>)</w:t>
      </w:r>
      <w:r>
        <w:rPr>
          <w:rFonts w:hint="eastAsia"/>
          <w:sz w:val="24"/>
          <w:szCs w:val="24"/>
        </w:rPr>
        <w:t>と９省</w:t>
      </w:r>
      <w:r>
        <w:rPr>
          <w:rFonts w:hint="eastAsia"/>
          <w:sz w:val="24"/>
          <w:szCs w:val="24"/>
        </w:rPr>
        <w:t>(</w:t>
      </w:r>
      <w:r>
        <w:rPr>
          <w:rFonts w:hint="eastAsia"/>
          <w:sz w:val="24"/>
          <w:szCs w:val="24"/>
        </w:rPr>
        <w:t>自治区</w:t>
      </w:r>
      <w:r>
        <w:rPr>
          <w:rFonts w:hint="eastAsia"/>
          <w:sz w:val="24"/>
          <w:szCs w:val="24"/>
        </w:rPr>
        <w:t>)</w:t>
      </w:r>
      <w:r>
        <w:rPr>
          <w:rFonts w:hint="eastAsia"/>
          <w:sz w:val="24"/>
          <w:szCs w:val="24"/>
        </w:rPr>
        <w:t>の位置づけ</w:t>
      </w:r>
    </w:p>
    <w:p w:rsidR="001D2950" w:rsidRDefault="001D2950" w:rsidP="001D2950">
      <w:pPr>
        <w:ind w:firstLineChars="100" w:firstLine="240"/>
        <w:rPr>
          <w:sz w:val="24"/>
          <w:szCs w:val="24"/>
        </w:rPr>
      </w:pPr>
      <w:r>
        <w:rPr>
          <w:rFonts w:eastAsia="SimSun"/>
          <w:noProof/>
          <w:sz w:val="24"/>
          <w:szCs w:val="24"/>
        </w:rPr>
        <w:drawing>
          <wp:inline distT="0" distB="0" distL="0" distR="0">
            <wp:extent cx="5400040" cy="2874677"/>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874677"/>
                    </a:xfrm>
                    <a:prstGeom prst="rect">
                      <a:avLst/>
                    </a:prstGeom>
                    <a:noFill/>
                    <a:ln>
                      <a:noFill/>
                    </a:ln>
                  </pic:spPr>
                </pic:pic>
              </a:graphicData>
            </a:graphic>
          </wp:inline>
        </w:drawing>
      </w:r>
    </w:p>
    <w:p w:rsidR="001D2950" w:rsidRPr="001D2950" w:rsidRDefault="001D2950" w:rsidP="001D2950">
      <w:pPr>
        <w:ind w:firstLineChars="100" w:firstLine="240"/>
        <w:rPr>
          <w:sz w:val="24"/>
          <w:szCs w:val="24"/>
        </w:rPr>
      </w:pPr>
    </w:p>
    <w:p w:rsidR="007202DC" w:rsidRDefault="007202DC" w:rsidP="007202DC">
      <w:pPr>
        <w:ind w:firstLineChars="100" w:firstLine="240"/>
        <w:rPr>
          <w:sz w:val="24"/>
          <w:szCs w:val="24"/>
        </w:rPr>
      </w:pPr>
    </w:p>
    <w:p w:rsidR="008607B4" w:rsidRDefault="008607B4" w:rsidP="007202DC">
      <w:pPr>
        <w:ind w:firstLineChars="100" w:firstLine="240"/>
        <w:rPr>
          <w:sz w:val="24"/>
          <w:szCs w:val="24"/>
        </w:rPr>
      </w:pPr>
    </w:p>
    <w:p w:rsidR="008607B4" w:rsidRDefault="008607B4" w:rsidP="007202DC">
      <w:pPr>
        <w:ind w:firstLineChars="100" w:firstLine="240"/>
        <w:rPr>
          <w:sz w:val="24"/>
          <w:szCs w:val="24"/>
        </w:rPr>
      </w:pPr>
      <w:r>
        <w:rPr>
          <w:rFonts w:hint="eastAsia"/>
          <w:sz w:val="24"/>
          <w:szCs w:val="24"/>
        </w:rPr>
        <w:lastRenderedPageBreak/>
        <w:t>表</w:t>
      </w:r>
      <w:r>
        <w:rPr>
          <w:rFonts w:hint="eastAsia"/>
          <w:sz w:val="24"/>
          <w:szCs w:val="24"/>
        </w:rPr>
        <w:t>2</w:t>
      </w:r>
      <w:r>
        <w:rPr>
          <w:rFonts w:hint="eastAsia"/>
          <w:sz w:val="24"/>
          <w:szCs w:val="24"/>
        </w:rPr>
        <w:t xml:space="preserve">　「一路戦略」における５省市の機能ポイント</w:t>
      </w:r>
    </w:p>
    <w:p w:rsidR="008607B4" w:rsidRDefault="008607B4" w:rsidP="008607B4">
      <w:pPr>
        <w:ind w:firstLineChars="100" w:firstLine="240"/>
        <w:rPr>
          <w:sz w:val="24"/>
          <w:szCs w:val="24"/>
        </w:rPr>
      </w:pPr>
      <w:r>
        <w:rPr>
          <w:rFonts w:hint="eastAsia"/>
          <w:noProof/>
          <w:sz w:val="24"/>
          <w:szCs w:val="24"/>
        </w:rPr>
        <w:drawing>
          <wp:inline distT="0" distB="0" distL="0" distR="0">
            <wp:extent cx="5400040" cy="2090711"/>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090711"/>
                    </a:xfrm>
                    <a:prstGeom prst="rect">
                      <a:avLst/>
                    </a:prstGeom>
                    <a:noFill/>
                    <a:ln>
                      <a:noFill/>
                    </a:ln>
                  </pic:spPr>
                </pic:pic>
              </a:graphicData>
            </a:graphic>
          </wp:inline>
        </w:drawing>
      </w:r>
    </w:p>
    <w:p w:rsidR="008607B4" w:rsidRDefault="008607B4" w:rsidP="008607B4">
      <w:pPr>
        <w:ind w:firstLineChars="100" w:firstLine="240"/>
        <w:rPr>
          <w:sz w:val="24"/>
          <w:szCs w:val="24"/>
        </w:rPr>
      </w:pPr>
      <w:r>
        <w:rPr>
          <w:rFonts w:hint="eastAsia"/>
          <w:sz w:val="24"/>
          <w:szCs w:val="24"/>
        </w:rPr>
        <w:t>表２は「一路戦略」における５省市の機能ポイントを示した。また省市の重点都市も示された。</w:t>
      </w:r>
    </w:p>
    <w:p w:rsidR="00821610" w:rsidRDefault="00821610" w:rsidP="008607B4">
      <w:pPr>
        <w:ind w:firstLineChars="100" w:firstLine="240"/>
        <w:rPr>
          <w:sz w:val="24"/>
          <w:szCs w:val="24"/>
        </w:rPr>
      </w:pPr>
      <w:r>
        <w:rPr>
          <w:rFonts w:hint="eastAsia"/>
          <w:sz w:val="24"/>
          <w:szCs w:val="24"/>
        </w:rPr>
        <w:t>したがつて、「一帯一路戦略」は過去の点または塊という地域発展戦略による問題点を克服しようとすることに特徴がある。たとえば、</w:t>
      </w:r>
      <w:r>
        <w:rPr>
          <w:rFonts w:hint="eastAsia"/>
          <w:sz w:val="24"/>
          <w:szCs w:val="24"/>
        </w:rPr>
        <w:t>79</w:t>
      </w:r>
      <w:r>
        <w:rPr>
          <w:rFonts w:hint="eastAsia"/>
          <w:sz w:val="24"/>
          <w:szCs w:val="24"/>
        </w:rPr>
        <w:t>年に設立した経済特別区構想、または</w:t>
      </w:r>
      <w:r>
        <w:rPr>
          <w:rFonts w:hint="eastAsia"/>
          <w:sz w:val="24"/>
          <w:szCs w:val="24"/>
        </w:rPr>
        <w:t>2014</w:t>
      </w:r>
      <w:r>
        <w:rPr>
          <w:rFonts w:hint="eastAsia"/>
          <w:sz w:val="24"/>
          <w:szCs w:val="24"/>
        </w:rPr>
        <w:t>年に設立された上海自由貿易地域構想はいずれも一つの地域を重点とする点の発展戦略である。今回の発展戦略は過去の発展戦略と異なっている。</w:t>
      </w:r>
    </w:p>
    <w:p w:rsidR="008031F1" w:rsidRDefault="008031F1" w:rsidP="008607B4">
      <w:pPr>
        <w:ind w:firstLineChars="100" w:firstLine="240"/>
        <w:rPr>
          <w:sz w:val="24"/>
          <w:szCs w:val="24"/>
        </w:rPr>
      </w:pPr>
      <w:r>
        <w:rPr>
          <w:rFonts w:hint="eastAsia"/>
          <w:sz w:val="24"/>
          <w:szCs w:val="24"/>
        </w:rPr>
        <w:t>表</w:t>
      </w:r>
      <w:r>
        <w:rPr>
          <w:rFonts w:hint="eastAsia"/>
          <w:sz w:val="24"/>
          <w:szCs w:val="24"/>
        </w:rPr>
        <w:t>3</w:t>
      </w:r>
      <w:r>
        <w:rPr>
          <w:rFonts w:hint="eastAsia"/>
          <w:sz w:val="24"/>
          <w:szCs w:val="24"/>
        </w:rPr>
        <w:t xml:space="preserve">　主要省市の比較優位</w:t>
      </w:r>
    </w:p>
    <w:p w:rsidR="008607B4" w:rsidRDefault="008607B4" w:rsidP="008607B4">
      <w:pPr>
        <w:ind w:firstLineChars="100" w:firstLine="240"/>
        <w:rPr>
          <w:sz w:val="24"/>
          <w:szCs w:val="24"/>
        </w:rPr>
      </w:pPr>
      <w:r>
        <w:rPr>
          <w:rFonts w:hint="eastAsia"/>
          <w:noProof/>
          <w:sz w:val="24"/>
          <w:szCs w:val="24"/>
        </w:rPr>
        <w:drawing>
          <wp:inline distT="0" distB="0" distL="0" distR="0">
            <wp:extent cx="5400040" cy="2362157"/>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362157"/>
                    </a:xfrm>
                    <a:prstGeom prst="rect">
                      <a:avLst/>
                    </a:prstGeom>
                    <a:noFill/>
                    <a:ln>
                      <a:noFill/>
                    </a:ln>
                  </pic:spPr>
                </pic:pic>
              </a:graphicData>
            </a:graphic>
          </wp:inline>
        </w:drawing>
      </w:r>
    </w:p>
    <w:p w:rsidR="00821610" w:rsidRDefault="00821610" w:rsidP="004B6E31">
      <w:pPr>
        <w:ind w:firstLineChars="100" w:firstLine="240"/>
        <w:rPr>
          <w:sz w:val="24"/>
          <w:szCs w:val="24"/>
        </w:rPr>
      </w:pPr>
      <w:r>
        <w:rPr>
          <w:rFonts w:hint="eastAsia"/>
          <w:sz w:val="24"/>
          <w:szCs w:val="24"/>
        </w:rPr>
        <w:t>一帯一路戦略を横に見れば、中国の東部地域、中部地域と西部地域を貫通する。たてに見れば、主要沿海地域の港都市とつながり、かつ中央アジアと東南アジアに延長する地域発展戦略である。これをもって中国の地域発展モデルを大きく変えることになる。この戦略は省と省の連関性を強調し、</w:t>
      </w:r>
      <w:r w:rsidR="004B6E31">
        <w:rPr>
          <w:rFonts w:hint="eastAsia"/>
          <w:sz w:val="24"/>
          <w:szCs w:val="24"/>
        </w:rPr>
        <w:t>産業の移転と連結を重要視する。中国の経済発展モデルの転換に有利である。</w:t>
      </w:r>
    </w:p>
    <w:p w:rsidR="004B6E31" w:rsidRDefault="004B6E31" w:rsidP="00821610">
      <w:pPr>
        <w:rPr>
          <w:sz w:val="24"/>
          <w:szCs w:val="24"/>
        </w:rPr>
      </w:pPr>
      <w:r>
        <w:rPr>
          <w:rFonts w:hint="eastAsia"/>
          <w:sz w:val="24"/>
          <w:szCs w:val="24"/>
        </w:rPr>
        <w:t xml:space="preserve">　以上の分析から分るように、一帯一路発展戦略は中国にとって第二段階の「改</w:t>
      </w:r>
      <w:r>
        <w:rPr>
          <w:rFonts w:hint="eastAsia"/>
          <w:sz w:val="24"/>
          <w:szCs w:val="24"/>
        </w:rPr>
        <w:lastRenderedPageBreak/>
        <w:t>革・開放戦略」の実施であり、中国の地方は世界に打って出る重要な媒体であり、中国の社会と外部世界との融合を促すものである。パーランド駐中国大使タドウジ氏がいうように「一帯一路戦略は。パーランドと中国各省市との協力を促進することになる。このような協力関係は中国とポーランド戦略パートナー関係の重要な一部である」。</w:t>
      </w:r>
    </w:p>
    <w:p w:rsidR="004B6E31" w:rsidRDefault="004B6E31" w:rsidP="00821610">
      <w:pPr>
        <w:rPr>
          <w:sz w:val="24"/>
          <w:szCs w:val="24"/>
        </w:rPr>
      </w:pPr>
    </w:p>
    <w:p w:rsidR="007202DC" w:rsidRDefault="007202DC" w:rsidP="007202DC">
      <w:pPr>
        <w:ind w:firstLineChars="100" w:firstLine="240"/>
        <w:rPr>
          <w:sz w:val="24"/>
          <w:szCs w:val="24"/>
        </w:rPr>
      </w:pPr>
      <w:r>
        <w:rPr>
          <w:rFonts w:hint="eastAsia"/>
          <w:sz w:val="24"/>
          <w:szCs w:val="24"/>
        </w:rPr>
        <w:t>二、戦略構想の背景と目的</w:t>
      </w:r>
    </w:p>
    <w:p w:rsidR="007202DC" w:rsidRDefault="007202DC" w:rsidP="007202DC">
      <w:pPr>
        <w:ind w:firstLineChars="100" w:firstLine="240"/>
        <w:rPr>
          <w:sz w:val="24"/>
          <w:szCs w:val="24"/>
        </w:rPr>
      </w:pPr>
      <w:r>
        <w:rPr>
          <w:rFonts w:hint="eastAsia"/>
          <w:sz w:val="24"/>
          <w:szCs w:val="24"/>
        </w:rPr>
        <w:t>1</w:t>
      </w:r>
      <w:r>
        <w:rPr>
          <w:rFonts w:hint="eastAsia"/>
          <w:sz w:val="24"/>
          <w:szCs w:val="24"/>
        </w:rPr>
        <w:t>、成長モデルの転換</w:t>
      </w:r>
    </w:p>
    <w:p w:rsidR="00E62B85" w:rsidRDefault="007202DC" w:rsidP="00E62B85">
      <w:pPr>
        <w:ind w:firstLineChars="100" w:firstLine="240"/>
        <w:rPr>
          <w:sz w:val="24"/>
          <w:szCs w:val="24"/>
        </w:rPr>
      </w:pPr>
      <w:r>
        <w:rPr>
          <w:rFonts w:hint="eastAsia"/>
          <w:sz w:val="24"/>
          <w:szCs w:val="24"/>
        </w:rPr>
        <w:t>78</w:t>
      </w:r>
      <w:r>
        <w:rPr>
          <w:rFonts w:hint="eastAsia"/>
          <w:sz w:val="24"/>
          <w:szCs w:val="24"/>
        </w:rPr>
        <w:t>年から</w:t>
      </w:r>
      <w:r>
        <w:rPr>
          <w:rFonts w:hint="eastAsia"/>
          <w:sz w:val="24"/>
          <w:szCs w:val="24"/>
        </w:rPr>
        <w:t>2013</w:t>
      </w:r>
      <w:r>
        <w:rPr>
          <w:rFonts w:hint="eastAsia"/>
          <w:sz w:val="24"/>
          <w:szCs w:val="24"/>
        </w:rPr>
        <w:t>年までの</w:t>
      </w:r>
      <w:r>
        <w:rPr>
          <w:rFonts w:hint="eastAsia"/>
          <w:sz w:val="24"/>
          <w:szCs w:val="24"/>
        </w:rPr>
        <w:t>35</w:t>
      </w:r>
      <w:r>
        <w:rPr>
          <w:rFonts w:hint="eastAsia"/>
          <w:sz w:val="24"/>
          <w:szCs w:val="24"/>
        </w:rPr>
        <w:t>年間は</w:t>
      </w:r>
      <w:r w:rsidR="00E62B85">
        <w:rPr>
          <w:rFonts w:hint="eastAsia"/>
          <w:sz w:val="24"/>
          <w:szCs w:val="24"/>
        </w:rPr>
        <w:t>中国高度成長の期間である。中国は日本、アジア</w:t>
      </w:r>
      <w:r w:rsidR="00E62B85">
        <w:rPr>
          <w:rFonts w:hint="eastAsia"/>
          <w:sz w:val="24"/>
          <w:szCs w:val="24"/>
        </w:rPr>
        <w:t>NIES</w:t>
      </w:r>
      <w:r w:rsidR="00E62B85">
        <w:rPr>
          <w:rFonts w:hint="eastAsia"/>
          <w:sz w:val="24"/>
          <w:szCs w:val="24"/>
        </w:rPr>
        <w:t>をはるかに上回る高度成長を実現し、「中国奇跡」を生み出した。</w:t>
      </w:r>
    </w:p>
    <w:p w:rsidR="00E62B85" w:rsidRDefault="00E62B85" w:rsidP="00E62B85">
      <w:pPr>
        <w:ind w:firstLineChars="100" w:firstLine="240"/>
        <w:rPr>
          <w:sz w:val="24"/>
          <w:szCs w:val="24"/>
        </w:rPr>
      </w:pPr>
      <w:r>
        <w:rPr>
          <w:rFonts w:hint="eastAsia"/>
          <w:sz w:val="24"/>
          <w:szCs w:val="24"/>
        </w:rPr>
        <w:t>しかし、この成長モデルに問題が生じ、経済成長率が減速した。これらの問題を克服するために新しい成長モデルが求められている。</w:t>
      </w:r>
    </w:p>
    <w:p w:rsidR="00E62B85" w:rsidRDefault="00E62B85" w:rsidP="00E62B85">
      <w:pPr>
        <w:ind w:firstLineChars="100" w:firstLine="240"/>
        <w:rPr>
          <w:sz w:val="24"/>
          <w:szCs w:val="24"/>
        </w:rPr>
      </w:pPr>
      <w:r>
        <w:rPr>
          <w:rFonts w:hint="eastAsia"/>
          <w:sz w:val="24"/>
          <w:szCs w:val="24"/>
        </w:rPr>
        <w:t>2</w:t>
      </w:r>
      <w:r>
        <w:rPr>
          <w:rFonts w:hint="eastAsia"/>
          <w:sz w:val="24"/>
          <w:szCs w:val="24"/>
        </w:rPr>
        <w:t>、「走出去」戦略の推進</w:t>
      </w:r>
    </w:p>
    <w:p w:rsidR="00E62B85" w:rsidRDefault="00E62B85" w:rsidP="00E62B85">
      <w:pPr>
        <w:ind w:firstLineChars="100" w:firstLine="240"/>
        <w:rPr>
          <w:sz w:val="24"/>
          <w:szCs w:val="24"/>
        </w:rPr>
      </w:pPr>
      <w:r>
        <w:rPr>
          <w:rFonts w:hint="eastAsia"/>
          <w:sz w:val="24"/>
          <w:szCs w:val="24"/>
        </w:rPr>
        <w:t>35</w:t>
      </w:r>
      <w:r>
        <w:rPr>
          <w:rFonts w:hint="eastAsia"/>
          <w:sz w:val="24"/>
          <w:szCs w:val="24"/>
        </w:rPr>
        <w:t>年間の成長により、中国の</w:t>
      </w:r>
      <w:r>
        <w:rPr>
          <w:rFonts w:hint="eastAsia"/>
          <w:sz w:val="24"/>
          <w:szCs w:val="24"/>
        </w:rPr>
        <w:t>GDP</w:t>
      </w:r>
      <w:r>
        <w:rPr>
          <w:rFonts w:hint="eastAsia"/>
          <w:sz w:val="24"/>
          <w:szCs w:val="24"/>
        </w:rPr>
        <w:t>はすでに日本の二倍に相当し、アメリカに次ぐ世界第二位になった。同時に外貨準備高は</w:t>
      </w:r>
      <w:r>
        <w:rPr>
          <w:rFonts w:hint="eastAsia"/>
          <w:sz w:val="24"/>
          <w:szCs w:val="24"/>
        </w:rPr>
        <w:t>4</w:t>
      </w:r>
      <w:r>
        <w:rPr>
          <w:rFonts w:hint="eastAsia"/>
          <w:sz w:val="24"/>
          <w:szCs w:val="24"/>
        </w:rPr>
        <w:t>兆ドルに近く、世界一、貿易総額も世界一になった。「世界の工場」から「世界の市場」に転換する過程において、中国は資本輸入国から資本輸出国に変わる実力を身につけた。</w:t>
      </w:r>
    </w:p>
    <w:p w:rsidR="00E62B85" w:rsidRDefault="00E62B85" w:rsidP="00E62B85">
      <w:pPr>
        <w:ind w:firstLineChars="100" w:firstLine="240"/>
        <w:rPr>
          <w:sz w:val="24"/>
          <w:szCs w:val="24"/>
        </w:rPr>
      </w:pPr>
      <w:r>
        <w:rPr>
          <w:rFonts w:hint="eastAsia"/>
          <w:sz w:val="24"/>
          <w:szCs w:val="24"/>
        </w:rPr>
        <w:t>３、国内過剰生産能力の解消と内需拡大</w:t>
      </w:r>
    </w:p>
    <w:p w:rsidR="00E62B85" w:rsidRDefault="00E62B85" w:rsidP="00E62B85">
      <w:pPr>
        <w:ind w:firstLineChars="100" w:firstLine="240"/>
        <w:rPr>
          <w:sz w:val="24"/>
          <w:szCs w:val="24"/>
        </w:rPr>
      </w:pPr>
      <w:r>
        <w:rPr>
          <w:rFonts w:hint="eastAsia"/>
          <w:sz w:val="24"/>
          <w:szCs w:val="24"/>
        </w:rPr>
        <w:t>関連諸国との関連で</w:t>
      </w:r>
      <w:r w:rsidR="00FB2B77">
        <w:rPr>
          <w:rFonts w:hint="eastAsia"/>
          <w:sz w:val="24"/>
          <w:szCs w:val="24"/>
        </w:rPr>
        <w:t>インフラ投資を拡大し、国内過剰生産能力を解消することができる。同時に内需を拡大し、世界市場としての地位を高める。</w:t>
      </w:r>
    </w:p>
    <w:p w:rsidR="00FB2B77" w:rsidRDefault="00FB2B77" w:rsidP="00E62B85">
      <w:pPr>
        <w:ind w:firstLineChars="100" w:firstLine="240"/>
        <w:rPr>
          <w:sz w:val="24"/>
          <w:szCs w:val="24"/>
        </w:rPr>
      </w:pPr>
      <w:r>
        <w:rPr>
          <w:rFonts w:hint="eastAsia"/>
          <w:sz w:val="24"/>
          <w:szCs w:val="24"/>
        </w:rPr>
        <w:t>４、貿易の拡大</w:t>
      </w:r>
    </w:p>
    <w:p w:rsidR="00FB2B77" w:rsidRDefault="00FB2B77" w:rsidP="00E62B85">
      <w:pPr>
        <w:ind w:firstLineChars="100" w:firstLine="240"/>
        <w:rPr>
          <w:sz w:val="24"/>
          <w:szCs w:val="24"/>
        </w:rPr>
      </w:pPr>
      <w:r>
        <w:rPr>
          <w:rFonts w:hint="eastAsia"/>
          <w:sz w:val="24"/>
          <w:szCs w:val="24"/>
        </w:rPr>
        <w:t>一帯一路開放戦略を実施することにより、貿易を拡大し、世界経済のけん引役とすることである。</w:t>
      </w:r>
    </w:p>
    <w:p w:rsidR="00FB2B77" w:rsidRDefault="00FB2B77" w:rsidP="00E62B85">
      <w:pPr>
        <w:ind w:firstLineChars="100" w:firstLine="240"/>
        <w:rPr>
          <w:sz w:val="24"/>
          <w:szCs w:val="24"/>
        </w:rPr>
      </w:pPr>
    </w:p>
    <w:p w:rsidR="00FB2B77" w:rsidRDefault="00FB2B77" w:rsidP="00E62B85">
      <w:pPr>
        <w:ind w:firstLineChars="100" w:firstLine="240"/>
        <w:rPr>
          <w:sz w:val="24"/>
          <w:szCs w:val="24"/>
        </w:rPr>
      </w:pPr>
      <w:r>
        <w:rPr>
          <w:rFonts w:hint="eastAsia"/>
          <w:sz w:val="24"/>
          <w:szCs w:val="24"/>
        </w:rPr>
        <w:t>三、東アジア経済への影響</w:t>
      </w:r>
    </w:p>
    <w:p w:rsidR="008031F1" w:rsidRDefault="008031F1" w:rsidP="00E62B85">
      <w:pPr>
        <w:ind w:firstLineChars="100" w:firstLine="240"/>
        <w:rPr>
          <w:sz w:val="24"/>
          <w:szCs w:val="24"/>
        </w:rPr>
      </w:pPr>
      <w:r>
        <w:rPr>
          <w:rFonts w:hint="eastAsia"/>
          <w:sz w:val="24"/>
          <w:szCs w:val="24"/>
        </w:rPr>
        <w:t>1</w:t>
      </w:r>
      <w:r>
        <w:rPr>
          <w:rFonts w:hint="eastAsia"/>
          <w:sz w:val="24"/>
          <w:szCs w:val="24"/>
        </w:rPr>
        <w:t>、一路戦略と中国</w:t>
      </w:r>
      <w:r w:rsidR="0076158C">
        <w:rPr>
          <w:rFonts w:hint="eastAsia"/>
          <w:sz w:val="24"/>
          <w:szCs w:val="24"/>
        </w:rPr>
        <w:t>雲南省の実例</w:t>
      </w:r>
    </w:p>
    <w:p w:rsidR="008031F1" w:rsidRDefault="008031F1" w:rsidP="00E62B85">
      <w:pPr>
        <w:ind w:firstLineChars="100" w:firstLine="240"/>
        <w:rPr>
          <w:sz w:val="24"/>
          <w:szCs w:val="24"/>
        </w:rPr>
      </w:pPr>
      <w:r>
        <w:rPr>
          <w:rFonts w:hint="eastAsia"/>
          <w:sz w:val="24"/>
          <w:szCs w:val="24"/>
        </w:rPr>
        <w:t>表４　主要省市のインフラ建設例</w:t>
      </w:r>
    </w:p>
    <w:p w:rsidR="004B6E31" w:rsidRDefault="008031F1" w:rsidP="008031F1">
      <w:pPr>
        <w:ind w:firstLineChars="100" w:firstLine="240"/>
        <w:rPr>
          <w:sz w:val="24"/>
          <w:szCs w:val="24"/>
        </w:rPr>
      </w:pPr>
      <w:r>
        <w:rPr>
          <w:noProof/>
          <w:sz w:val="24"/>
          <w:szCs w:val="24"/>
        </w:rPr>
        <w:drawing>
          <wp:inline distT="0" distB="0" distL="0" distR="0">
            <wp:extent cx="5400040" cy="172289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722899"/>
                    </a:xfrm>
                    <a:prstGeom prst="rect">
                      <a:avLst/>
                    </a:prstGeom>
                    <a:noFill/>
                    <a:ln>
                      <a:noFill/>
                    </a:ln>
                  </pic:spPr>
                </pic:pic>
              </a:graphicData>
            </a:graphic>
          </wp:inline>
        </w:drawing>
      </w:r>
    </w:p>
    <w:p w:rsidR="008031F1" w:rsidRDefault="008031F1" w:rsidP="008031F1">
      <w:pPr>
        <w:ind w:firstLineChars="100" w:firstLine="240"/>
        <w:rPr>
          <w:sz w:val="24"/>
          <w:szCs w:val="24"/>
        </w:rPr>
      </w:pPr>
      <w:r>
        <w:rPr>
          <w:rFonts w:hint="eastAsia"/>
          <w:sz w:val="24"/>
          <w:szCs w:val="24"/>
        </w:rPr>
        <w:t xml:space="preserve">　表４に示されるように雲南省は</w:t>
      </w:r>
      <w:r w:rsidR="0076158C">
        <w:rPr>
          <w:rFonts w:hint="eastAsia"/>
          <w:sz w:val="24"/>
          <w:szCs w:val="24"/>
        </w:rPr>
        <w:t>これまでに東南アジアを中心に中国・東盟</w:t>
      </w:r>
      <w:r w:rsidR="0076158C">
        <w:rPr>
          <w:rFonts w:hint="eastAsia"/>
          <w:sz w:val="24"/>
          <w:szCs w:val="24"/>
        </w:rPr>
        <w:lastRenderedPageBreak/>
        <w:t>博覧会を開催してきたが、近年、南アジアとの交流を促進するために</w:t>
      </w:r>
      <w:r>
        <w:rPr>
          <w:rFonts w:hint="eastAsia"/>
          <w:sz w:val="24"/>
          <w:szCs w:val="24"/>
        </w:rPr>
        <w:t>中国</w:t>
      </w:r>
      <w:r w:rsidR="0076158C">
        <w:rPr>
          <w:rFonts w:hint="eastAsia"/>
          <w:sz w:val="24"/>
          <w:szCs w:val="24"/>
        </w:rPr>
        <w:t>・</w:t>
      </w:r>
      <w:r>
        <w:rPr>
          <w:rFonts w:hint="eastAsia"/>
          <w:sz w:val="24"/>
          <w:szCs w:val="24"/>
        </w:rPr>
        <w:t>南アジア博覧会を設置し、毎年南アジア諸国から参加者を募り、博覧会を開催している。また雲南省とミャンマーとの間を国境線で隔てている。雲南とミャンマーとの経済交流が極めて盛んに行われている。</w:t>
      </w:r>
    </w:p>
    <w:p w:rsidR="0076158C" w:rsidRDefault="0076158C" w:rsidP="008031F1">
      <w:pPr>
        <w:ind w:firstLineChars="100" w:firstLine="240"/>
        <w:rPr>
          <w:sz w:val="24"/>
          <w:szCs w:val="24"/>
        </w:rPr>
      </w:pPr>
      <w:r>
        <w:rPr>
          <w:rFonts w:hint="eastAsia"/>
          <w:sz w:val="24"/>
          <w:szCs w:val="24"/>
        </w:rPr>
        <w:t>図４　中国雲南省と東南アジア</w:t>
      </w:r>
    </w:p>
    <w:p w:rsidR="008031F1" w:rsidRDefault="0076158C" w:rsidP="0076158C">
      <w:pPr>
        <w:ind w:firstLineChars="100" w:firstLine="210"/>
        <w:rPr>
          <w:sz w:val="24"/>
          <w:szCs w:val="24"/>
        </w:rPr>
      </w:pPr>
      <w:r>
        <w:rPr>
          <w:noProof/>
        </w:rPr>
        <w:drawing>
          <wp:inline distT="0" distB="0" distL="0" distR="0" wp14:anchorId="5640424E" wp14:editId="7A3C8EA9">
            <wp:extent cx="5400040" cy="3256915"/>
            <wp:effectExtent l="0" t="0" r="0" b="635"/>
            <wp:docPr id="9" name="図 9" descr="南北経済回廊　西部経済回廊　ASEANの要"/>
            <wp:cNvGraphicFramePr/>
            <a:graphic xmlns:a="http://schemas.openxmlformats.org/drawingml/2006/main">
              <a:graphicData uri="http://schemas.openxmlformats.org/drawingml/2006/picture">
                <pic:pic xmlns:pic="http://schemas.openxmlformats.org/drawingml/2006/picture">
                  <pic:nvPicPr>
                    <pic:cNvPr id="1" name="図 1" descr="南北経済回廊　西部経済回廊　ASEANの要"/>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256915"/>
                    </a:xfrm>
                    <a:prstGeom prst="rect">
                      <a:avLst/>
                    </a:prstGeom>
                    <a:noFill/>
                    <a:ln>
                      <a:noFill/>
                    </a:ln>
                  </pic:spPr>
                </pic:pic>
              </a:graphicData>
            </a:graphic>
          </wp:inline>
        </w:drawing>
      </w:r>
    </w:p>
    <w:p w:rsidR="0076158C" w:rsidRDefault="0076158C" w:rsidP="0076158C">
      <w:pPr>
        <w:autoSpaceDE w:val="0"/>
        <w:autoSpaceDN w:val="0"/>
        <w:adjustRightInd w:val="0"/>
        <w:ind w:firstLineChars="100" w:firstLine="240"/>
        <w:jc w:val="left"/>
        <w:rPr>
          <w:rFonts w:asciiTheme="minorEastAsia" w:hAnsiTheme="minorEastAsia" w:cs="CenturySchoolbook"/>
          <w:color w:val="231F20"/>
          <w:kern w:val="0"/>
          <w:sz w:val="24"/>
          <w:szCs w:val="24"/>
        </w:rPr>
      </w:pPr>
      <w:r>
        <w:rPr>
          <w:rFonts w:asciiTheme="minorEastAsia" w:hAnsiTheme="minorEastAsia" w:cs="CenturySchoolbook" w:hint="eastAsia"/>
          <w:color w:val="231F20"/>
          <w:kern w:val="0"/>
          <w:sz w:val="24"/>
          <w:szCs w:val="24"/>
        </w:rPr>
        <w:t>雲南省の土地面積は39.4万平方キロ、日本より２万平方キロより大きい省である。山地が全体の84%を占める。山が多いことも日本と似通っている。人口は2014年末現在、4714万人に達している。2006年の4483万人と比べて231万人増にとどまっている</w:t>
      </w:r>
      <w:r>
        <w:rPr>
          <w:rStyle w:val="ac"/>
          <w:rFonts w:asciiTheme="minorEastAsia" w:hAnsiTheme="minorEastAsia" w:cs="CenturySchoolbook"/>
          <w:color w:val="231F20"/>
          <w:kern w:val="0"/>
          <w:sz w:val="24"/>
          <w:szCs w:val="24"/>
        </w:rPr>
        <w:footnoteReference w:id="1"/>
      </w:r>
      <w:r>
        <w:rPr>
          <w:rFonts w:asciiTheme="minorEastAsia" w:hAnsiTheme="minorEastAsia" w:cs="CenturySchoolbook" w:hint="eastAsia"/>
          <w:color w:val="231F20"/>
          <w:kern w:val="0"/>
          <w:sz w:val="24"/>
          <w:szCs w:val="24"/>
        </w:rPr>
        <w:t>。雲南省に16の州、129の県と市があり、うち、８の州のうち、25の県、市はベトナム、ミャンマーとラオスの３か国と国境線を隔てており、11の県は隣国と川を隔てている。国境線が4061キロにも上り、昔から中国と東南アジアとつながっている国境の省である。雲南省の特色として以下の三つが上げられる。</w:t>
      </w:r>
    </w:p>
    <w:p w:rsidR="0076158C" w:rsidRDefault="0076158C" w:rsidP="0076158C">
      <w:pPr>
        <w:autoSpaceDE w:val="0"/>
        <w:autoSpaceDN w:val="0"/>
        <w:adjustRightInd w:val="0"/>
        <w:jc w:val="left"/>
        <w:rPr>
          <w:rFonts w:asciiTheme="minorEastAsia" w:hAnsiTheme="minorEastAsia" w:cs="CenturySchoolbook"/>
          <w:color w:val="231F20"/>
          <w:kern w:val="0"/>
          <w:sz w:val="24"/>
          <w:szCs w:val="24"/>
        </w:rPr>
      </w:pPr>
      <w:r>
        <w:rPr>
          <w:rFonts w:asciiTheme="minorEastAsia" w:hAnsiTheme="minorEastAsia" w:cs="CenturySchoolbook" w:hint="eastAsia"/>
          <w:color w:val="231F20"/>
          <w:kern w:val="0"/>
          <w:sz w:val="24"/>
          <w:szCs w:val="24"/>
        </w:rPr>
        <w:t xml:space="preserve">　第一に少数民族が多いことである。全国55の少数民族のうち、雲南省は51の少数民族を持っている。少数民族の人口が1000万人を超える三つの省のひとつである。広西、雲南と貴州はそれである。</w:t>
      </w:r>
    </w:p>
    <w:p w:rsidR="0076158C" w:rsidRDefault="0076158C" w:rsidP="0076158C">
      <w:pPr>
        <w:autoSpaceDE w:val="0"/>
        <w:autoSpaceDN w:val="0"/>
        <w:adjustRightInd w:val="0"/>
        <w:jc w:val="left"/>
        <w:rPr>
          <w:rFonts w:asciiTheme="minorEastAsia" w:hAnsiTheme="minorEastAsia" w:cs="CenturySchoolbook"/>
          <w:color w:val="231F20"/>
          <w:kern w:val="0"/>
          <w:sz w:val="24"/>
          <w:szCs w:val="24"/>
        </w:rPr>
      </w:pPr>
      <w:r>
        <w:rPr>
          <w:rFonts w:asciiTheme="minorEastAsia" w:hAnsiTheme="minorEastAsia" w:cs="CenturySchoolbook" w:hint="eastAsia"/>
          <w:color w:val="231F20"/>
          <w:kern w:val="0"/>
          <w:sz w:val="24"/>
          <w:szCs w:val="24"/>
        </w:rPr>
        <w:t xml:space="preserve">　第二に、GDP、一人当たりGDPのレベル、工業化と都市化レベルは全国で低いレベルにある。但し、近年の高成長により、GDPの規模は2014年に1.2兆元を超え、全国31の省・直轄市の24位を占めている</w:t>
      </w:r>
      <w:r>
        <w:rPr>
          <w:rStyle w:val="ac"/>
          <w:rFonts w:asciiTheme="minorEastAsia" w:hAnsiTheme="minorEastAsia" w:cs="CenturySchoolbook"/>
          <w:color w:val="231F20"/>
          <w:kern w:val="0"/>
          <w:sz w:val="24"/>
          <w:szCs w:val="24"/>
        </w:rPr>
        <w:footnoteReference w:id="2"/>
      </w:r>
      <w:r>
        <w:rPr>
          <w:rFonts w:asciiTheme="minorEastAsia" w:hAnsiTheme="minorEastAsia" w:cs="CenturySchoolbook" w:hint="eastAsia"/>
          <w:color w:val="231F20"/>
          <w:kern w:val="0"/>
          <w:sz w:val="24"/>
          <w:szCs w:val="24"/>
        </w:rPr>
        <w:t>。</w:t>
      </w:r>
    </w:p>
    <w:p w:rsidR="0076158C" w:rsidRDefault="0076158C" w:rsidP="0076158C">
      <w:pPr>
        <w:autoSpaceDE w:val="0"/>
        <w:autoSpaceDN w:val="0"/>
        <w:adjustRightInd w:val="0"/>
        <w:jc w:val="left"/>
        <w:rPr>
          <w:rFonts w:asciiTheme="minorEastAsia" w:hAnsiTheme="minorEastAsia" w:cs="CenturySchoolbook"/>
          <w:color w:val="231F20"/>
          <w:kern w:val="0"/>
          <w:sz w:val="24"/>
          <w:szCs w:val="24"/>
        </w:rPr>
      </w:pPr>
      <w:r>
        <w:rPr>
          <w:rFonts w:asciiTheme="minorEastAsia" w:hAnsiTheme="minorEastAsia" w:cs="CenturySchoolbook" w:hint="eastAsia"/>
          <w:color w:val="231F20"/>
          <w:kern w:val="0"/>
          <w:sz w:val="24"/>
          <w:szCs w:val="24"/>
        </w:rPr>
        <w:lastRenderedPageBreak/>
        <w:t xml:space="preserve">　第三に、山が多いため、交通インフラが立ち遅れている。但し、高速道路の整備により、交通が昔と比べてかなり便利になっている。</w:t>
      </w:r>
    </w:p>
    <w:p w:rsidR="0076158C" w:rsidRDefault="0076158C" w:rsidP="0076158C">
      <w:pPr>
        <w:autoSpaceDE w:val="0"/>
        <w:autoSpaceDN w:val="0"/>
        <w:adjustRightInd w:val="0"/>
        <w:ind w:firstLineChars="100" w:firstLine="240"/>
        <w:jc w:val="left"/>
        <w:rPr>
          <w:rFonts w:ascii="CenturySchoolbook" w:eastAsia="CenturySchoolbook" w:cs="CenturySchoolbook"/>
          <w:color w:val="231F20"/>
          <w:kern w:val="0"/>
          <w:sz w:val="24"/>
          <w:szCs w:val="24"/>
        </w:rPr>
      </w:pPr>
      <w:r>
        <w:rPr>
          <w:rFonts w:asciiTheme="minorEastAsia" w:hAnsiTheme="minorEastAsia" w:cs="CenturySchoolbook" w:hint="eastAsia"/>
          <w:color w:val="231F20"/>
          <w:kern w:val="0"/>
          <w:sz w:val="24"/>
          <w:szCs w:val="24"/>
        </w:rPr>
        <w:t>図４に示されるように、中国の雲南省は</w:t>
      </w:r>
      <w:r w:rsidRPr="00F04220">
        <w:rPr>
          <w:rFonts w:ascii="CenturySchoolbook" w:eastAsia="CenturySchoolbook" w:cs="CenturySchoolbook"/>
          <w:color w:val="231F20"/>
          <w:kern w:val="0"/>
          <w:sz w:val="24"/>
          <w:szCs w:val="24"/>
        </w:rPr>
        <w:t>ASEAN</w:t>
      </w:r>
      <w:r>
        <w:rPr>
          <w:rFonts w:ascii="CenturySchoolbook" w:eastAsia="CenturySchoolbook" w:cs="CenturySchoolbook" w:hint="eastAsia"/>
          <w:color w:val="231F20"/>
          <w:kern w:val="0"/>
          <w:sz w:val="24"/>
          <w:szCs w:val="24"/>
        </w:rPr>
        <w:t>諸国のうち、ベトナム、ラオスとミャンマーの3か国と国境を隔てている。中国は</w:t>
      </w:r>
      <w:r w:rsidRPr="00F04220">
        <w:rPr>
          <w:rFonts w:ascii="CenturySchoolbook" w:eastAsia="CenturySchoolbook" w:cs="CenturySchoolbook"/>
          <w:color w:val="231F20"/>
          <w:kern w:val="0"/>
          <w:sz w:val="24"/>
          <w:szCs w:val="24"/>
        </w:rPr>
        <w:t>ASEAN</w:t>
      </w:r>
      <w:r>
        <w:rPr>
          <w:rFonts w:ascii="CenturySchoolbook" w:eastAsia="CenturySchoolbook" w:cs="CenturySchoolbook" w:hint="eastAsia"/>
          <w:color w:val="231F20"/>
          <w:kern w:val="0"/>
          <w:sz w:val="24"/>
          <w:szCs w:val="24"/>
        </w:rPr>
        <w:t>諸国と関係を促す上でもっとも重要な省となっており、中国はメゴン川の開発を行い、国際経済協力を推し進める主要な省でもある。中国・</w:t>
      </w:r>
      <w:r w:rsidRPr="00F04220">
        <w:rPr>
          <w:rFonts w:ascii="CenturySchoolbook" w:eastAsia="CenturySchoolbook" w:cs="CenturySchoolbook"/>
          <w:color w:val="231F20"/>
          <w:kern w:val="0"/>
          <w:sz w:val="24"/>
          <w:szCs w:val="24"/>
        </w:rPr>
        <w:t>ASEAN</w:t>
      </w:r>
      <w:r>
        <w:rPr>
          <w:rFonts w:ascii="CenturySchoolbook" w:eastAsia="CenturySchoolbook" w:cs="CenturySchoolbook" w:hint="eastAsia"/>
          <w:color w:val="231F20"/>
          <w:kern w:val="0"/>
          <w:sz w:val="24"/>
          <w:szCs w:val="24"/>
        </w:rPr>
        <w:t>自由貿易地域の成立により、雲南省はかつてない歴史的な発展機会に恵まれた。同時に中国・</w:t>
      </w:r>
      <w:r w:rsidRPr="00F04220">
        <w:rPr>
          <w:rFonts w:ascii="CenturySchoolbook" w:eastAsia="CenturySchoolbook" w:cs="CenturySchoolbook"/>
          <w:color w:val="231F20"/>
          <w:kern w:val="0"/>
          <w:sz w:val="24"/>
          <w:szCs w:val="24"/>
        </w:rPr>
        <w:t>ASEAN</w:t>
      </w:r>
      <w:r>
        <w:rPr>
          <w:rFonts w:ascii="CenturySchoolbook" w:eastAsia="CenturySchoolbook" w:cs="CenturySchoolbook" w:hint="eastAsia"/>
          <w:color w:val="231F20"/>
          <w:kern w:val="0"/>
          <w:sz w:val="24"/>
          <w:szCs w:val="24"/>
        </w:rPr>
        <w:t>自由貿易地域の成立は雲南省の輸出入貿易に大きな影響を及ぼした。</w:t>
      </w:r>
    </w:p>
    <w:p w:rsidR="0076158C" w:rsidRDefault="0076158C" w:rsidP="0076158C">
      <w:pPr>
        <w:autoSpaceDE w:val="0"/>
        <w:autoSpaceDN w:val="0"/>
        <w:adjustRightInd w:val="0"/>
        <w:jc w:val="left"/>
        <w:rPr>
          <w:rFonts w:ascii="CenturySchoolbook" w:eastAsia="CenturySchoolbook" w:cs="CenturySchoolbook"/>
          <w:color w:val="231F20"/>
          <w:kern w:val="0"/>
          <w:sz w:val="24"/>
          <w:szCs w:val="24"/>
        </w:rPr>
      </w:pPr>
      <w:r>
        <w:rPr>
          <w:rFonts w:ascii="CenturySchoolbook" w:eastAsia="CenturySchoolbook" w:cs="CenturySchoolbook" w:hint="eastAsia"/>
          <w:color w:val="231F20"/>
          <w:kern w:val="0"/>
          <w:sz w:val="24"/>
          <w:szCs w:val="24"/>
        </w:rPr>
        <w:t xml:space="preserve">　図５に示されるように、雲南省は近年二桁の成長率を続けている。2012年に雲南省のGDPは2011年と比べて13%増加し、1兆309.5億元となったこれは全国省別ランキングで天津、重慶に継ぐ第３位となるなど経済の好調さが伺われる。省GDPは1989年以来、毎年最高値を更新し、二桁増を６年間にわたり維持してきた。産業別に見れば、2012年に第一次産業、第二次産業、第三次産業はそれぞれGDPの15.3%、44.7%と40%を占めている</w:t>
      </w:r>
      <w:r>
        <w:rPr>
          <w:rStyle w:val="ac"/>
          <w:rFonts w:ascii="CenturySchoolbook" w:eastAsia="CenturySchoolbook" w:cs="CenturySchoolbook"/>
          <w:color w:val="231F20"/>
          <w:kern w:val="0"/>
          <w:sz w:val="24"/>
          <w:szCs w:val="24"/>
        </w:rPr>
        <w:footnoteReference w:id="3"/>
      </w:r>
      <w:r>
        <w:rPr>
          <w:rFonts w:ascii="CenturySchoolbook" w:eastAsia="CenturySchoolbook" w:cs="CenturySchoolbook" w:hint="eastAsia"/>
          <w:color w:val="231F20"/>
          <w:kern w:val="0"/>
          <w:sz w:val="24"/>
          <w:szCs w:val="24"/>
        </w:rPr>
        <w:t>。2013と14年にもそれぞれ12.1%と8.1%の高い成長率を出しており、全国平均を上回っている</w:t>
      </w:r>
      <w:r>
        <w:rPr>
          <w:rStyle w:val="ac"/>
          <w:rFonts w:ascii="CenturySchoolbook" w:eastAsia="CenturySchoolbook" w:cs="CenturySchoolbook"/>
          <w:color w:val="231F20"/>
          <w:kern w:val="0"/>
          <w:sz w:val="24"/>
          <w:szCs w:val="24"/>
        </w:rPr>
        <w:footnoteReference w:id="4"/>
      </w:r>
      <w:r>
        <w:rPr>
          <w:rFonts w:ascii="CenturySchoolbook" w:eastAsia="CenturySchoolbook" w:cs="CenturySchoolbook" w:hint="eastAsia"/>
          <w:color w:val="231F20"/>
          <w:kern w:val="0"/>
          <w:sz w:val="24"/>
          <w:szCs w:val="24"/>
        </w:rPr>
        <w:t>。</w:t>
      </w:r>
    </w:p>
    <w:p w:rsidR="0076158C" w:rsidRDefault="0076158C" w:rsidP="0076158C">
      <w:pPr>
        <w:autoSpaceDE w:val="0"/>
        <w:autoSpaceDN w:val="0"/>
        <w:adjustRightInd w:val="0"/>
        <w:jc w:val="left"/>
        <w:rPr>
          <w:rFonts w:ascii="CenturySchoolbook" w:eastAsia="CenturySchoolbook" w:cs="CenturySchoolbook"/>
          <w:color w:val="231F20"/>
          <w:kern w:val="0"/>
          <w:sz w:val="24"/>
          <w:szCs w:val="24"/>
        </w:rPr>
      </w:pPr>
    </w:p>
    <w:p w:rsidR="0076158C" w:rsidRDefault="0076158C" w:rsidP="0076158C">
      <w:pPr>
        <w:autoSpaceDE w:val="0"/>
        <w:autoSpaceDN w:val="0"/>
        <w:adjustRightInd w:val="0"/>
        <w:jc w:val="left"/>
        <w:rPr>
          <w:rFonts w:ascii="CenturySchoolbook" w:eastAsia="CenturySchoolbook" w:cs="CenturySchoolbook"/>
          <w:color w:val="231F20"/>
          <w:kern w:val="0"/>
          <w:sz w:val="24"/>
          <w:szCs w:val="24"/>
        </w:rPr>
      </w:pPr>
    </w:p>
    <w:p w:rsidR="0076158C" w:rsidRDefault="0076158C" w:rsidP="0076158C">
      <w:pPr>
        <w:autoSpaceDE w:val="0"/>
        <w:autoSpaceDN w:val="0"/>
        <w:adjustRightInd w:val="0"/>
        <w:jc w:val="left"/>
        <w:rPr>
          <w:rFonts w:ascii="CenturySchoolbook" w:eastAsia="CenturySchoolbook" w:cs="CenturySchoolbook"/>
          <w:color w:val="231F20"/>
          <w:kern w:val="0"/>
          <w:sz w:val="24"/>
          <w:szCs w:val="24"/>
        </w:rPr>
      </w:pPr>
      <w:r>
        <w:rPr>
          <w:rFonts w:ascii="CenturySchoolbook" w:eastAsia="CenturySchoolbook" w:cs="CenturySchoolbook" w:hint="eastAsia"/>
          <w:color w:val="231F20"/>
          <w:kern w:val="0"/>
          <w:sz w:val="24"/>
          <w:szCs w:val="24"/>
        </w:rPr>
        <w:lastRenderedPageBreak/>
        <w:t>図6　高い成長率を続ける雲南省</w:t>
      </w:r>
    </w:p>
    <w:p w:rsidR="0076158C" w:rsidRDefault="0076158C" w:rsidP="0076158C">
      <w:pPr>
        <w:autoSpaceDE w:val="0"/>
        <w:autoSpaceDN w:val="0"/>
        <w:adjustRightInd w:val="0"/>
        <w:jc w:val="left"/>
        <w:rPr>
          <w:rFonts w:ascii="CenturySchoolbook" w:eastAsia="CenturySchoolbook" w:cs="CenturySchoolbook"/>
          <w:color w:val="231F20"/>
          <w:kern w:val="0"/>
          <w:sz w:val="24"/>
          <w:szCs w:val="24"/>
        </w:rPr>
      </w:pPr>
      <w:r>
        <w:rPr>
          <w:noProof/>
        </w:rPr>
        <w:drawing>
          <wp:inline distT="0" distB="0" distL="0" distR="0" wp14:anchorId="6D326C2C" wp14:editId="426CB9AA">
            <wp:extent cx="5400040" cy="2900045"/>
            <wp:effectExtent l="0" t="0" r="0" b="0"/>
            <wp:docPr id="10" name="図 10" descr="http://www.jiitp.co.jp/about/images/gdp.jpg"/>
            <wp:cNvGraphicFramePr/>
            <a:graphic xmlns:a="http://schemas.openxmlformats.org/drawingml/2006/main">
              <a:graphicData uri="http://schemas.openxmlformats.org/drawingml/2006/picture">
                <pic:pic xmlns:pic="http://schemas.openxmlformats.org/drawingml/2006/picture">
                  <pic:nvPicPr>
                    <pic:cNvPr id="3" name="図 3" descr="http://www.jiitp.co.jp/about/images/gdp.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900045"/>
                    </a:xfrm>
                    <a:prstGeom prst="rect">
                      <a:avLst/>
                    </a:prstGeom>
                    <a:noFill/>
                    <a:ln>
                      <a:noFill/>
                    </a:ln>
                  </pic:spPr>
                </pic:pic>
              </a:graphicData>
            </a:graphic>
          </wp:inline>
        </w:drawing>
      </w:r>
    </w:p>
    <w:p w:rsidR="0076158C" w:rsidRDefault="0076158C" w:rsidP="0076158C">
      <w:pPr>
        <w:autoSpaceDE w:val="0"/>
        <w:autoSpaceDN w:val="0"/>
        <w:adjustRightInd w:val="0"/>
        <w:jc w:val="left"/>
        <w:rPr>
          <w:rFonts w:ascii="CenturySchoolbook" w:eastAsia="CenturySchoolbook" w:cs="CenturySchoolbook"/>
          <w:color w:val="231F20"/>
          <w:kern w:val="0"/>
          <w:sz w:val="24"/>
          <w:szCs w:val="24"/>
        </w:rPr>
      </w:pPr>
      <w:r>
        <w:rPr>
          <w:rFonts w:ascii="CenturySchoolbook" w:eastAsia="CenturySchoolbook" w:cs="CenturySchoolbook" w:hint="eastAsia"/>
          <w:color w:val="231F20"/>
          <w:kern w:val="0"/>
          <w:sz w:val="24"/>
          <w:szCs w:val="24"/>
        </w:rPr>
        <w:t xml:space="preserve">　出所:中国統計局『中国経済統計年鑑』2013年度より作成。</w:t>
      </w:r>
    </w:p>
    <w:p w:rsidR="0076158C" w:rsidRPr="0076158C" w:rsidRDefault="0076158C" w:rsidP="0076158C">
      <w:pPr>
        <w:ind w:firstLineChars="100" w:firstLine="240"/>
        <w:rPr>
          <w:sz w:val="24"/>
          <w:szCs w:val="24"/>
        </w:rPr>
      </w:pPr>
      <w:r>
        <w:rPr>
          <w:rFonts w:hint="eastAsia"/>
          <w:sz w:val="24"/>
          <w:szCs w:val="24"/>
        </w:rPr>
        <w:t>２、福建省と台湾・東南アジア</w:t>
      </w:r>
    </w:p>
    <w:p w:rsidR="00FB2B77" w:rsidRDefault="0076158C" w:rsidP="00E62B85">
      <w:pPr>
        <w:ind w:firstLineChars="100" w:firstLine="240"/>
        <w:rPr>
          <w:sz w:val="24"/>
          <w:szCs w:val="24"/>
        </w:rPr>
      </w:pPr>
      <w:r>
        <w:rPr>
          <w:rFonts w:hint="eastAsia"/>
          <w:sz w:val="24"/>
          <w:szCs w:val="24"/>
        </w:rPr>
        <w:t>次に</w:t>
      </w:r>
      <w:r w:rsidR="00FB2B77">
        <w:rPr>
          <w:rFonts w:hint="eastAsia"/>
          <w:sz w:val="24"/>
          <w:szCs w:val="24"/>
        </w:rPr>
        <w:t>福建省の例を分析し、台湾及び東アジア経済への影響を分析したい。</w:t>
      </w:r>
    </w:p>
    <w:p w:rsidR="00FB2B77" w:rsidRPr="00FB2B77" w:rsidRDefault="00FB2B77" w:rsidP="00FB2B77">
      <w:pPr>
        <w:pStyle w:val="a3"/>
        <w:numPr>
          <w:ilvl w:val="0"/>
          <w:numId w:val="2"/>
        </w:numPr>
        <w:ind w:leftChars="0"/>
        <w:rPr>
          <w:sz w:val="24"/>
          <w:szCs w:val="24"/>
        </w:rPr>
      </w:pPr>
      <w:r w:rsidRPr="00FB2B77">
        <w:rPr>
          <w:rFonts w:hint="eastAsia"/>
          <w:sz w:val="24"/>
          <w:szCs w:val="24"/>
        </w:rPr>
        <w:t>泉州は先行区とし、年内に福厦高速鉄道を開通する。</w:t>
      </w:r>
    </w:p>
    <w:p w:rsidR="00FB2B77" w:rsidRDefault="00FB2B77" w:rsidP="00FB2B77">
      <w:pPr>
        <w:pStyle w:val="a3"/>
        <w:numPr>
          <w:ilvl w:val="0"/>
          <w:numId w:val="2"/>
        </w:numPr>
        <w:ind w:leftChars="0"/>
        <w:rPr>
          <w:sz w:val="24"/>
          <w:szCs w:val="24"/>
        </w:rPr>
      </w:pPr>
      <w:r>
        <w:rPr>
          <w:rFonts w:hint="eastAsia"/>
          <w:sz w:val="24"/>
          <w:szCs w:val="24"/>
        </w:rPr>
        <w:t>6</w:t>
      </w:r>
      <w:r>
        <w:rPr>
          <w:rFonts w:hint="eastAsia"/>
          <w:sz w:val="24"/>
          <w:szCs w:val="24"/>
        </w:rPr>
        <w:t>沿海都市を「海上協力戦略支点都市」と定めた。</w:t>
      </w:r>
    </w:p>
    <w:p w:rsidR="00FB2B77" w:rsidRDefault="00FB2B77" w:rsidP="00FB2B77">
      <w:pPr>
        <w:pStyle w:val="a3"/>
        <w:numPr>
          <w:ilvl w:val="0"/>
          <w:numId w:val="2"/>
        </w:numPr>
        <w:ind w:leftChars="0"/>
        <w:rPr>
          <w:sz w:val="24"/>
          <w:szCs w:val="24"/>
        </w:rPr>
      </w:pPr>
      <w:r w:rsidRPr="00FB2B77">
        <w:rPr>
          <w:rFonts w:hint="eastAsia"/>
          <w:sz w:val="24"/>
          <w:szCs w:val="24"/>
        </w:rPr>
        <w:t>厦</w:t>
      </w:r>
      <w:r>
        <w:rPr>
          <w:rFonts w:hint="eastAsia"/>
          <w:sz w:val="24"/>
          <w:szCs w:val="24"/>
        </w:rPr>
        <w:t>門</w:t>
      </w:r>
      <w:r w:rsidR="00132F5B">
        <w:rPr>
          <w:rFonts w:hint="eastAsia"/>
          <w:sz w:val="24"/>
          <w:szCs w:val="24"/>
        </w:rPr>
        <w:t>市は投資誘致、対外投資、海洋協力、観光国際会議、人文交流など</w:t>
      </w:r>
      <w:r w:rsidR="00132F5B">
        <w:rPr>
          <w:rFonts w:hint="eastAsia"/>
          <w:sz w:val="24"/>
          <w:szCs w:val="24"/>
        </w:rPr>
        <w:t>6</w:t>
      </w:r>
      <w:r w:rsidR="00132F5B">
        <w:rPr>
          <w:rFonts w:hint="eastAsia"/>
          <w:sz w:val="24"/>
          <w:szCs w:val="24"/>
        </w:rPr>
        <w:t>の分野を重点分野とし、</w:t>
      </w:r>
      <w:r w:rsidR="00132F5B">
        <w:rPr>
          <w:rFonts w:hint="eastAsia"/>
          <w:sz w:val="24"/>
          <w:szCs w:val="24"/>
        </w:rPr>
        <w:t>39</w:t>
      </w:r>
      <w:r w:rsidR="00132F5B">
        <w:rPr>
          <w:rFonts w:hint="eastAsia"/>
          <w:sz w:val="24"/>
          <w:szCs w:val="24"/>
        </w:rPr>
        <w:t>項目からなる発展計画を策定した。</w:t>
      </w:r>
      <w:r w:rsidR="00132F5B">
        <w:rPr>
          <w:rFonts w:hint="eastAsia"/>
          <w:sz w:val="24"/>
          <w:szCs w:val="24"/>
        </w:rPr>
        <w:t>2020</w:t>
      </w:r>
      <w:r w:rsidR="00132F5B">
        <w:rPr>
          <w:rFonts w:hint="eastAsia"/>
          <w:sz w:val="24"/>
          <w:szCs w:val="24"/>
        </w:rPr>
        <w:t>年までに</w:t>
      </w:r>
      <w:r w:rsidR="00132F5B" w:rsidRPr="00FB2B77">
        <w:rPr>
          <w:rFonts w:hint="eastAsia"/>
          <w:sz w:val="24"/>
          <w:szCs w:val="24"/>
        </w:rPr>
        <w:t>厦</w:t>
      </w:r>
      <w:r w:rsidR="00132F5B">
        <w:rPr>
          <w:rFonts w:hint="eastAsia"/>
          <w:sz w:val="24"/>
          <w:szCs w:val="24"/>
        </w:rPr>
        <w:t>門港は海上シルクロードと関連する国で</w:t>
      </w:r>
      <w:r w:rsidR="00132F5B">
        <w:rPr>
          <w:rFonts w:hint="eastAsia"/>
          <w:sz w:val="24"/>
          <w:szCs w:val="24"/>
        </w:rPr>
        <w:t>40</w:t>
      </w:r>
      <w:r w:rsidR="00132F5B">
        <w:rPr>
          <w:rFonts w:hint="eastAsia"/>
          <w:sz w:val="24"/>
          <w:szCs w:val="24"/>
        </w:rPr>
        <w:t>の航路を開通し、</w:t>
      </w:r>
      <w:r w:rsidR="00132F5B">
        <w:rPr>
          <w:rFonts w:hint="eastAsia"/>
          <w:sz w:val="24"/>
          <w:szCs w:val="24"/>
        </w:rPr>
        <w:t>20</w:t>
      </w:r>
      <w:r w:rsidR="00132F5B">
        <w:rPr>
          <w:rFonts w:hint="eastAsia"/>
          <w:sz w:val="24"/>
          <w:szCs w:val="24"/>
        </w:rPr>
        <w:t>カ国と航路を開通する。また、</w:t>
      </w:r>
      <w:r w:rsidR="00132F5B" w:rsidRPr="00FB2B77">
        <w:rPr>
          <w:rFonts w:hint="eastAsia"/>
          <w:sz w:val="24"/>
          <w:szCs w:val="24"/>
        </w:rPr>
        <w:t>厦</w:t>
      </w:r>
      <w:r w:rsidR="00132F5B">
        <w:rPr>
          <w:rFonts w:hint="eastAsia"/>
          <w:sz w:val="24"/>
          <w:szCs w:val="24"/>
        </w:rPr>
        <w:t>門と海上シルクロード</w:t>
      </w:r>
      <w:r w:rsidR="00132F5B">
        <w:rPr>
          <w:rFonts w:hint="eastAsia"/>
          <w:sz w:val="24"/>
          <w:szCs w:val="24"/>
        </w:rPr>
        <w:t>(</w:t>
      </w:r>
      <w:r w:rsidR="00132F5B">
        <w:rPr>
          <w:rFonts w:hint="eastAsia"/>
          <w:sz w:val="24"/>
          <w:szCs w:val="24"/>
        </w:rPr>
        <w:t>海糸と略する</w:t>
      </w:r>
      <w:r w:rsidR="00132F5B">
        <w:rPr>
          <w:rFonts w:hint="eastAsia"/>
          <w:sz w:val="24"/>
          <w:szCs w:val="24"/>
        </w:rPr>
        <w:t>)</w:t>
      </w:r>
      <w:r w:rsidR="00132F5B">
        <w:rPr>
          <w:rFonts w:hint="eastAsia"/>
          <w:sz w:val="24"/>
          <w:szCs w:val="24"/>
        </w:rPr>
        <w:t>との関連国</w:t>
      </w:r>
      <w:r w:rsidR="00132F5B">
        <w:rPr>
          <w:rFonts w:hint="eastAsia"/>
          <w:sz w:val="24"/>
          <w:szCs w:val="24"/>
        </w:rPr>
        <w:t>9</w:t>
      </w:r>
      <w:r w:rsidR="00132F5B">
        <w:rPr>
          <w:rFonts w:hint="eastAsia"/>
          <w:sz w:val="24"/>
          <w:szCs w:val="24"/>
        </w:rPr>
        <w:t>か国との間に</w:t>
      </w:r>
      <w:r w:rsidR="00132F5B">
        <w:rPr>
          <w:rFonts w:hint="eastAsia"/>
          <w:sz w:val="24"/>
          <w:szCs w:val="24"/>
        </w:rPr>
        <w:t>340</w:t>
      </w:r>
      <w:r w:rsidR="00132F5B">
        <w:rPr>
          <w:rFonts w:hint="eastAsia"/>
          <w:sz w:val="24"/>
          <w:szCs w:val="24"/>
        </w:rPr>
        <w:t>億ドルにのぼる貿易を達成する予定である。</w:t>
      </w:r>
    </w:p>
    <w:p w:rsidR="00D04798" w:rsidRDefault="00132F5B" w:rsidP="00132F5B">
      <w:pPr>
        <w:pStyle w:val="a3"/>
        <w:numPr>
          <w:ilvl w:val="0"/>
          <w:numId w:val="2"/>
        </w:numPr>
        <w:ind w:leftChars="0"/>
        <w:rPr>
          <w:sz w:val="24"/>
          <w:szCs w:val="24"/>
        </w:rPr>
      </w:pPr>
      <w:r>
        <w:rPr>
          <w:rFonts w:hint="eastAsia"/>
          <w:sz w:val="24"/>
          <w:szCs w:val="24"/>
        </w:rPr>
        <w:t>福州市改革委員会は「海上シルクロード実施意見」を策定し、商務局において海上シルクロード指導グループを設けた。</w:t>
      </w:r>
    </w:p>
    <w:p w:rsidR="0076158C" w:rsidRDefault="0076158C" w:rsidP="0076158C">
      <w:pPr>
        <w:ind w:left="240"/>
        <w:rPr>
          <w:sz w:val="24"/>
          <w:szCs w:val="24"/>
        </w:rPr>
      </w:pPr>
    </w:p>
    <w:p w:rsidR="0076158C" w:rsidRPr="0076158C" w:rsidRDefault="0076158C" w:rsidP="0076158C">
      <w:pPr>
        <w:ind w:left="240"/>
        <w:rPr>
          <w:sz w:val="24"/>
          <w:szCs w:val="24"/>
        </w:rPr>
      </w:pPr>
      <w:r>
        <w:rPr>
          <w:rFonts w:hint="eastAsia"/>
          <w:sz w:val="24"/>
          <w:szCs w:val="24"/>
        </w:rPr>
        <w:t>四、問題点</w:t>
      </w:r>
    </w:p>
    <w:sectPr w:rsidR="0076158C" w:rsidRPr="0076158C">
      <w:headerReference w:type="even" r:id="rId18"/>
      <w:headerReference w:type="default" r:id="rId19"/>
      <w:footerReference w:type="even" r:id="rId20"/>
      <w:footerReference w:type="default" r:id="rId21"/>
      <w:headerReference w:type="first" r:id="rId22"/>
      <w:footerReference w:type="first" r:id="rId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33A" w:rsidRDefault="0079133A" w:rsidP="00132F5B">
      <w:r>
        <w:separator/>
      </w:r>
    </w:p>
  </w:endnote>
  <w:endnote w:type="continuationSeparator" w:id="0">
    <w:p w:rsidR="0079133A" w:rsidRDefault="0079133A" w:rsidP="0013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0000012" w:usb3="00000000" w:csb0="0002009F" w:csb1="00000000"/>
  </w:font>
  <w:font w:name="CenturySchoolbook">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5B" w:rsidRDefault="00132F5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361745"/>
      <w:docPartObj>
        <w:docPartGallery w:val="Page Numbers (Bottom of Page)"/>
        <w:docPartUnique/>
      </w:docPartObj>
    </w:sdtPr>
    <w:sdtEndPr/>
    <w:sdtContent>
      <w:p w:rsidR="00132F5B" w:rsidRDefault="00132F5B">
        <w:pPr>
          <w:pStyle w:val="a8"/>
          <w:jc w:val="center"/>
        </w:pPr>
        <w:r>
          <w:fldChar w:fldCharType="begin"/>
        </w:r>
        <w:r>
          <w:instrText>PAGE   \* MERGEFORMAT</w:instrText>
        </w:r>
        <w:r>
          <w:fldChar w:fldCharType="separate"/>
        </w:r>
        <w:r w:rsidR="00E0449C" w:rsidRPr="00E0449C">
          <w:rPr>
            <w:noProof/>
            <w:lang w:val="ja-JP"/>
          </w:rPr>
          <w:t>1</w:t>
        </w:r>
        <w:r>
          <w:fldChar w:fldCharType="end"/>
        </w:r>
      </w:p>
    </w:sdtContent>
  </w:sdt>
  <w:p w:rsidR="00132F5B" w:rsidRDefault="00132F5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5B" w:rsidRDefault="00132F5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33A" w:rsidRDefault="0079133A" w:rsidP="00132F5B">
      <w:r>
        <w:separator/>
      </w:r>
    </w:p>
  </w:footnote>
  <w:footnote w:type="continuationSeparator" w:id="0">
    <w:p w:rsidR="0079133A" w:rsidRDefault="0079133A" w:rsidP="00132F5B">
      <w:r>
        <w:continuationSeparator/>
      </w:r>
    </w:p>
  </w:footnote>
  <w:footnote w:id="1">
    <w:p w:rsidR="0076158C" w:rsidRPr="00F73ECD" w:rsidRDefault="0076158C" w:rsidP="0076158C">
      <w:pPr>
        <w:pStyle w:val="aa"/>
        <w:rPr>
          <w:lang w:eastAsia="zh-CN"/>
        </w:rPr>
      </w:pPr>
      <w:r>
        <w:rPr>
          <w:rStyle w:val="ac"/>
        </w:rPr>
        <w:footnoteRef/>
      </w:r>
      <w:r>
        <w:rPr>
          <w:lang w:eastAsia="zh-CN"/>
        </w:rPr>
        <w:t xml:space="preserve"> </w:t>
      </w:r>
      <w:r>
        <w:rPr>
          <w:rFonts w:hint="eastAsia"/>
          <w:lang w:eastAsia="zh-CN"/>
        </w:rPr>
        <w:t>中国国家統計局『中国統計摘要』</w:t>
      </w:r>
      <w:r>
        <w:rPr>
          <w:rFonts w:hint="eastAsia"/>
          <w:lang w:eastAsia="zh-CN"/>
        </w:rPr>
        <w:t>2015</w:t>
      </w:r>
      <w:r>
        <w:rPr>
          <w:rFonts w:hint="eastAsia"/>
          <w:lang w:eastAsia="zh-CN"/>
        </w:rPr>
        <w:t>年度、</w:t>
      </w:r>
      <w:r>
        <w:rPr>
          <w:rFonts w:hint="eastAsia"/>
          <w:lang w:eastAsia="zh-CN"/>
        </w:rPr>
        <w:t>19</w:t>
      </w:r>
      <w:r>
        <w:rPr>
          <w:rFonts w:hint="eastAsia"/>
          <w:lang w:eastAsia="zh-CN"/>
        </w:rPr>
        <w:t>頁。</w:t>
      </w:r>
    </w:p>
  </w:footnote>
  <w:footnote w:id="2">
    <w:p w:rsidR="0076158C" w:rsidRPr="00D54A3A" w:rsidRDefault="0076158C" w:rsidP="0076158C">
      <w:pPr>
        <w:pStyle w:val="aa"/>
      </w:pPr>
      <w:r>
        <w:rPr>
          <w:rStyle w:val="ac"/>
        </w:rPr>
        <w:footnoteRef/>
      </w:r>
      <w:r>
        <w:t xml:space="preserve"> </w:t>
      </w:r>
      <w:r>
        <w:rPr>
          <w:rFonts w:hint="eastAsia"/>
        </w:rPr>
        <w:t>同上、</w:t>
      </w:r>
      <w:r>
        <w:rPr>
          <w:rFonts w:hint="eastAsia"/>
        </w:rPr>
        <w:t>28</w:t>
      </w:r>
      <w:r>
        <w:rPr>
          <w:rFonts w:hint="eastAsia"/>
        </w:rPr>
        <w:t>頁。</w:t>
      </w:r>
    </w:p>
  </w:footnote>
  <w:footnote w:id="3">
    <w:p w:rsidR="0076158C" w:rsidRPr="00670422" w:rsidRDefault="0076158C" w:rsidP="0076158C">
      <w:pPr>
        <w:pStyle w:val="aa"/>
      </w:pPr>
      <w:r>
        <w:rPr>
          <w:rStyle w:val="ac"/>
        </w:rPr>
        <w:footnoteRef/>
      </w:r>
      <w:r>
        <w:rPr>
          <w:rFonts w:ascii="CenturySchoolbook" w:eastAsia="CenturySchoolbook" w:cs="CenturySchoolbook" w:hint="eastAsia"/>
          <w:color w:val="231F20"/>
          <w:kern w:val="0"/>
          <w:sz w:val="24"/>
          <w:szCs w:val="24"/>
        </w:rPr>
        <w:t>中国統計局『中国経済統計年鑑』2013年度より引用。</w:t>
      </w:r>
    </w:p>
  </w:footnote>
  <w:footnote w:id="4">
    <w:p w:rsidR="0076158C" w:rsidRPr="00D54A3A" w:rsidRDefault="0076158C" w:rsidP="0076158C">
      <w:pPr>
        <w:pStyle w:val="aa"/>
        <w:rPr>
          <w:lang w:eastAsia="zh-CN"/>
        </w:rPr>
      </w:pPr>
      <w:r>
        <w:rPr>
          <w:rStyle w:val="ac"/>
        </w:rPr>
        <w:footnoteRef/>
      </w:r>
      <w:r>
        <w:rPr>
          <w:lang w:eastAsia="zh-CN"/>
        </w:rPr>
        <w:t xml:space="preserve"> </w:t>
      </w:r>
      <w:r>
        <w:rPr>
          <w:rFonts w:ascii="CenturySchoolbook" w:eastAsia="CenturySchoolbook" w:cs="CenturySchoolbook" w:hint="eastAsia"/>
          <w:color w:val="231F20"/>
          <w:kern w:val="0"/>
          <w:sz w:val="24"/>
          <w:szCs w:val="24"/>
          <w:lang w:eastAsia="zh-CN"/>
        </w:rPr>
        <w:t>中国統計局『中国経済摘要』2015年、29頁。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5B" w:rsidRDefault="00132F5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5B" w:rsidRDefault="00132F5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5B" w:rsidRDefault="00132F5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521D6"/>
    <w:multiLevelType w:val="hybridMultilevel"/>
    <w:tmpl w:val="4F085800"/>
    <w:lvl w:ilvl="0" w:tplc="1D7C99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E374A4D"/>
    <w:multiLevelType w:val="hybridMultilevel"/>
    <w:tmpl w:val="83CA3E82"/>
    <w:lvl w:ilvl="0" w:tplc="512EA918">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4EB"/>
    <w:rsid w:val="0007189D"/>
    <w:rsid w:val="000C3512"/>
    <w:rsid w:val="00132F5B"/>
    <w:rsid w:val="001874EB"/>
    <w:rsid w:val="001D2950"/>
    <w:rsid w:val="004B6E31"/>
    <w:rsid w:val="006A28C6"/>
    <w:rsid w:val="00706F12"/>
    <w:rsid w:val="007202DC"/>
    <w:rsid w:val="0076158C"/>
    <w:rsid w:val="00763A2F"/>
    <w:rsid w:val="0079133A"/>
    <w:rsid w:val="007D0CD6"/>
    <w:rsid w:val="008031F1"/>
    <w:rsid w:val="00821610"/>
    <w:rsid w:val="008607B4"/>
    <w:rsid w:val="008F6B84"/>
    <w:rsid w:val="00977997"/>
    <w:rsid w:val="00A37782"/>
    <w:rsid w:val="00B71014"/>
    <w:rsid w:val="00D04798"/>
    <w:rsid w:val="00D336EE"/>
    <w:rsid w:val="00DD3AF0"/>
    <w:rsid w:val="00E0449C"/>
    <w:rsid w:val="00E62B85"/>
    <w:rsid w:val="00E70663"/>
    <w:rsid w:val="00FB2B77"/>
    <w:rsid w:val="00FC5BC5"/>
    <w:rsid w:val="00FE66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36EE"/>
    <w:pPr>
      <w:ind w:leftChars="400" w:left="840"/>
    </w:pPr>
  </w:style>
  <w:style w:type="paragraph" w:styleId="a4">
    <w:name w:val="Balloon Text"/>
    <w:basedOn w:val="a"/>
    <w:link w:val="a5"/>
    <w:uiPriority w:val="99"/>
    <w:semiHidden/>
    <w:unhideWhenUsed/>
    <w:rsid w:val="00D336E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336EE"/>
    <w:rPr>
      <w:rFonts w:asciiTheme="majorHAnsi" w:eastAsiaTheme="majorEastAsia" w:hAnsiTheme="majorHAnsi" w:cstheme="majorBidi"/>
      <w:sz w:val="18"/>
      <w:szCs w:val="18"/>
    </w:rPr>
  </w:style>
  <w:style w:type="paragraph" w:styleId="a6">
    <w:name w:val="header"/>
    <w:basedOn w:val="a"/>
    <w:link w:val="a7"/>
    <w:uiPriority w:val="99"/>
    <w:unhideWhenUsed/>
    <w:rsid w:val="00132F5B"/>
    <w:pPr>
      <w:tabs>
        <w:tab w:val="center" w:pos="4252"/>
        <w:tab w:val="right" w:pos="8504"/>
      </w:tabs>
      <w:snapToGrid w:val="0"/>
    </w:pPr>
  </w:style>
  <w:style w:type="character" w:customStyle="1" w:styleId="a7">
    <w:name w:val="ヘッダー (文字)"/>
    <w:basedOn w:val="a0"/>
    <w:link w:val="a6"/>
    <w:uiPriority w:val="99"/>
    <w:rsid w:val="00132F5B"/>
  </w:style>
  <w:style w:type="paragraph" w:styleId="a8">
    <w:name w:val="footer"/>
    <w:basedOn w:val="a"/>
    <w:link w:val="a9"/>
    <w:uiPriority w:val="99"/>
    <w:unhideWhenUsed/>
    <w:rsid w:val="00132F5B"/>
    <w:pPr>
      <w:tabs>
        <w:tab w:val="center" w:pos="4252"/>
        <w:tab w:val="right" w:pos="8504"/>
      </w:tabs>
      <w:snapToGrid w:val="0"/>
    </w:pPr>
  </w:style>
  <w:style w:type="character" w:customStyle="1" w:styleId="a9">
    <w:name w:val="フッター (文字)"/>
    <w:basedOn w:val="a0"/>
    <w:link w:val="a8"/>
    <w:uiPriority w:val="99"/>
    <w:rsid w:val="00132F5B"/>
  </w:style>
  <w:style w:type="paragraph" w:styleId="aa">
    <w:name w:val="footnote text"/>
    <w:basedOn w:val="a"/>
    <w:link w:val="ab"/>
    <w:uiPriority w:val="99"/>
    <w:semiHidden/>
    <w:unhideWhenUsed/>
    <w:rsid w:val="0076158C"/>
    <w:pPr>
      <w:snapToGrid w:val="0"/>
      <w:jc w:val="left"/>
    </w:pPr>
  </w:style>
  <w:style w:type="character" w:customStyle="1" w:styleId="ab">
    <w:name w:val="脚注文字列 (文字)"/>
    <w:basedOn w:val="a0"/>
    <w:link w:val="aa"/>
    <w:uiPriority w:val="99"/>
    <w:semiHidden/>
    <w:rsid w:val="0076158C"/>
  </w:style>
  <w:style w:type="character" w:styleId="ac">
    <w:name w:val="footnote reference"/>
    <w:basedOn w:val="a0"/>
    <w:uiPriority w:val="99"/>
    <w:semiHidden/>
    <w:unhideWhenUsed/>
    <w:rsid w:val="007615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36EE"/>
    <w:pPr>
      <w:ind w:leftChars="400" w:left="840"/>
    </w:pPr>
  </w:style>
  <w:style w:type="paragraph" w:styleId="a4">
    <w:name w:val="Balloon Text"/>
    <w:basedOn w:val="a"/>
    <w:link w:val="a5"/>
    <w:uiPriority w:val="99"/>
    <w:semiHidden/>
    <w:unhideWhenUsed/>
    <w:rsid w:val="00D336E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336EE"/>
    <w:rPr>
      <w:rFonts w:asciiTheme="majorHAnsi" w:eastAsiaTheme="majorEastAsia" w:hAnsiTheme="majorHAnsi" w:cstheme="majorBidi"/>
      <w:sz w:val="18"/>
      <w:szCs w:val="18"/>
    </w:rPr>
  </w:style>
  <w:style w:type="paragraph" w:styleId="a6">
    <w:name w:val="header"/>
    <w:basedOn w:val="a"/>
    <w:link w:val="a7"/>
    <w:uiPriority w:val="99"/>
    <w:unhideWhenUsed/>
    <w:rsid w:val="00132F5B"/>
    <w:pPr>
      <w:tabs>
        <w:tab w:val="center" w:pos="4252"/>
        <w:tab w:val="right" w:pos="8504"/>
      </w:tabs>
      <w:snapToGrid w:val="0"/>
    </w:pPr>
  </w:style>
  <w:style w:type="character" w:customStyle="1" w:styleId="a7">
    <w:name w:val="ヘッダー (文字)"/>
    <w:basedOn w:val="a0"/>
    <w:link w:val="a6"/>
    <w:uiPriority w:val="99"/>
    <w:rsid w:val="00132F5B"/>
  </w:style>
  <w:style w:type="paragraph" w:styleId="a8">
    <w:name w:val="footer"/>
    <w:basedOn w:val="a"/>
    <w:link w:val="a9"/>
    <w:uiPriority w:val="99"/>
    <w:unhideWhenUsed/>
    <w:rsid w:val="00132F5B"/>
    <w:pPr>
      <w:tabs>
        <w:tab w:val="center" w:pos="4252"/>
        <w:tab w:val="right" w:pos="8504"/>
      </w:tabs>
      <w:snapToGrid w:val="0"/>
    </w:pPr>
  </w:style>
  <w:style w:type="character" w:customStyle="1" w:styleId="a9">
    <w:name w:val="フッター (文字)"/>
    <w:basedOn w:val="a0"/>
    <w:link w:val="a8"/>
    <w:uiPriority w:val="99"/>
    <w:rsid w:val="00132F5B"/>
  </w:style>
  <w:style w:type="paragraph" w:styleId="aa">
    <w:name w:val="footnote text"/>
    <w:basedOn w:val="a"/>
    <w:link w:val="ab"/>
    <w:uiPriority w:val="99"/>
    <w:semiHidden/>
    <w:unhideWhenUsed/>
    <w:rsid w:val="0076158C"/>
    <w:pPr>
      <w:snapToGrid w:val="0"/>
      <w:jc w:val="left"/>
    </w:pPr>
  </w:style>
  <w:style w:type="character" w:customStyle="1" w:styleId="ab">
    <w:name w:val="脚注文字列 (文字)"/>
    <w:basedOn w:val="a0"/>
    <w:link w:val="aa"/>
    <w:uiPriority w:val="99"/>
    <w:semiHidden/>
    <w:rsid w:val="0076158C"/>
  </w:style>
  <w:style w:type="character" w:styleId="ac">
    <w:name w:val="footnote reference"/>
    <w:basedOn w:val="a0"/>
    <w:uiPriority w:val="99"/>
    <w:semiHidden/>
    <w:unhideWhenUsed/>
    <w:rsid w:val="007615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2408E-DAEF-4A02-B718-C1571D94A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743</Words>
  <Characters>4238</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tnaito</cp:lastModifiedBy>
  <cp:revision>2</cp:revision>
  <dcterms:created xsi:type="dcterms:W3CDTF">2016-01-08T03:41:00Z</dcterms:created>
  <dcterms:modified xsi:type="dcterms:W3CDTF">2016-01-08T03:41:00Z</dcterms:modified>
</cp:coreProperties>
</file>