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05B" w:rsidRDefault="009D505B">
      <w:pPr>
        <w:rPr>
          <w:rFonts w:ascii="Times New Roman" w:hAnsi="Times New Roman" w:cs="Times New Roman"/>
          <w:lang w:eastAsia="zh-CN"/>
        </w:rPr>
      </w:pPr>
      <w:bookmarkStart w:id="0" w:name="_GoBack"/>
      <w:bookmarkEnd w:id="0"/>
      <w:r w:rsidRPr="003D2124">
        <w:rPr>
          <w:rFonts w:ascii="Times New Roman" w:hAnsi="Times New Roman" w:cs="Times New Roman"/>
          <w:lang w:eastAsia="zh-CN"/>
        </w:rPr>
        <w:t>国際経済学会関東部会発表論文（</w:t>
      </w:r>
      <w:r w:rsidRPr="003D2124">
        <w:rPr>
          <w:rFonts w:ascii="Times New Roman" w:hAnsi="Times New Roman" w:cs="Times New Roman"/>
          <w:lang w:eastAsia="zh-CN"/>
        </w:rPr>
        <w:t>2014.12</w:t>
      </w:r>
      <w:r w:rsidR="0001115E">
        <w:rPr>
          <w:rFonts w:ascii="Times New Roman" w:hAnsi="Times New Roman" w:cs="Times New Roman" w:hint="eastAsia"/>
          <w:lang w:eastAsia="zh-CN"/>
        </w:rPr>
        <w:t>.20</w:t>
      </w:r>
      <w:r w:rsidRPr="003D2124">
        <w:rPr>
          <w:rFonts w:ascii="Times New Roman" w:hAnsi="Times New Roman" w:cs="Times New Roman"/>
          <w:lang w:eastAsia="zh-CN"/>
        </w:rPr>
        <w:t>）</w:t>
      </w:r>
    </w:p>
    <w:p w:rsidR="00E17B77" w:rsidRPr="003D2124" w:rsidRDefault="00E17B77">
      <w:pPr>
        <w:rPr>
          <w:rFonts w:ascii="Times New Roman" w:hAnsi="Times New Roman" w:cs="Times New Roman"/>
          <w:sz w:val="24"/>
          <w:szCs w:val="24"/>
        </w:rPr>
      </w:pPr>
      <w:r w:rsidRPr="003D2124">
        <w:rPr>
          <w:rFonts w:ascii="Times New Roman" w:hAnsi="Times New Roman" w:cs="Times New Roman"/>
          <w:b/>
          <w:bCs/>
          <w:sz w:val="24"/>
          <w:szCs w:val="24"/>
        </w:rPr>
        <w:t>ユーロ加盟と中東欧小国におけるカジノ資本主義の破綻－ラトヴィアとスロヴェニアの事例を中心に－</w:t>
      </w:r>
    </w:p>
    <w:p w:rsidR="009F3B67" w:rsidRPr="00323898" w:rsidRDefault="009F3B67">
      <w:pPr>
        <w:rPr>
          <w:rFonts w:ascii="Times New Roman" w:hAnsi="Times New Roman" w:cs="Times New Roman"/>
        </w:rPr>
      </w:pPr>
    </w:p>
    <w:p w:rsidR="00E17B77" w:rsidRPr="003D2124" w:rsidRDefault="00E17B77" w:rsidP="00E17B77">
      <w:pPr>
        <w:jc w:val="right"/>
        <w:rPr>
          <w:rFonts w:ascii="Times New Roman" w:hAnsi="Times New Roman" w:cs="Times New Roman"/>
          <w:sz w:val="24"/>
          <w:szCs w:val="24"/>
        </w:rPr>
      </w:pPr>
      <w:r w:rsidRPr="003D2124">
        <w:rPr>
          <w:rFonts w:ascii="Times New Roman" w:hAnsi="Times New Roman" w:cs="Times New Roman"/>
          <w:sz w:val="24"/>
          <w:szCs w:val="24"/>
        </w:rPr>
        <w:t>小山　洋司</w:t>
      </w:r>
    </w:p>
    <w:p w:rsidR="00E17B77" w:rsidRPr="003D2124" w:rsidRDefault="00E17B77">
      <w:pPr>
        <w:rPr>
          <w:rFonts w:ascii="Times New Roman" w:hAnsi="Times New Roman" w:cs="Times New Roman"/>
        </w:rPr>
      </w:pPr>
    </w:p>
    <w:p w:rsidR="0064608E" w:rsidRPr="0032738C" w:rsidRDefault="004E2730">
      <w:pPr>
        <w:rPr>
          <w:rFonts w:ascii="Times New Roman" w:hAnsi="Times New Roman" w:cs="Times New Roman"/>
          <w:b/>
        </w:rPr>
      </w:pPr>
      <w:r>
        <w:rPr>
          <w:rFonts w:ascii="Times New Roman" w:hAnsi="Times New Roman" w:cs="Times New Roman" w:hint="eastAsia"/>
          <w:b/>
        </w:rPr>
        <w:t>I.</w:t>
      </w:r>
      <w:r>
        <w:rPr>
          <w:rFonts w:ascii="Times New Roman" w:hAnsi="Times New Roman" w:cs="Times New Roman" w:hint="eastAsia"/>
          <w:b/>
        </w:rPr>
        <w:t xml:space="preserve">　はじめに</w:t>
      </w:r>
    </w:p>
    <w:p w:rsidR="00E04A05" w:rsidRPr="003D2124" w:rsidRDefault="00E04A05" w:rsidP="00AA73AF">
      <w:pPr>
        <w:ind w:firstLineChars="100" w:firstLine="210"/>
        <w:rPr>
          <w:rFonts w:ascii="Times New Roman" w:hAnsi="Times New Roman" w:cs="Times New Roman"/>
        </w:rPr>
      </w:pPr>
      <w:r w:rsidRPr="003D2124">
        <w:rPr>
          <w:rFonts w:ascii="Times New Roman" w:hAnsi="Times New Roman" w:cs="Times New Roman"/>
        </w:rPr>
        <w:t>1990</w:t>
      </w:r>
      <w:r w:rsidRPr="003D2124">
        <w:rPr>
          <w:rFonts w:ascii="Times New Roman" w:hAnsi="Times New Roman" w:cs="Times New Roman"/>
        </w:rPr>
        <w:t>年</w:t>
      </w:r>
      <w:r w:rsidRPr="003D2124">
        <w:rPr>
          <w:rFonts w:ascii="Times New Roman" w:hAnsi="Times New Roman" w:cs="Times New Roman"/>
        </w:rPr>
        <w:t>7</w:t>
      </w:r>
      <w:r w:rsidRPr="003D2124">
        <w:rPr>
          <w:rFonts w:ascii="Times New Roman" w:hAnsi="Times New Roman" w:cs="Times New Roman"/>
        </w:rPr>
        <w:t>月、金融市場での資本移動が</w:t>
      </w:r>
      <w:r w:rsidRPr="003D2124">
        <w:rPr>
          <w:rFonts w:ascii="Times New Roman" w:hAnsi="Times New Roman" w:cs="Times New Roman"/>
        </w:rPr>
        <w:t>EU</w:t>
      </w:r>
      <w:r w:rsidRPr="003D2124">
        <w:rPr>
          <w:rFonts w:ascii="Times New Roman" w:hAnsi="Times New Roman" w:cs="Times New Roman"/>
        </w:rPr>
        <w:t>域内で完全に自由化</w:t>
      </w:r>
      <w:r w:rsidR="00A57A77">
        <w:rPr>
          <w:rFonts w:ascii="Times New Roman" w:hAnsi="Times New Roman" w:cs="Times New Roman" w:hint="eastAsia"/>
        </w:rPr>
        <w:t>された</w:t>
      </w:r>
      <w:r w:rsidRPr="003D2124">
        <w:rPr>
          <w:rFonts w:ascii="Times New Roman" w:hAnsi="Times New Roman" w:cs="Times New Roman"/>
        </w:rPr>
        <w:t>。</w:t>
      </w:r>
      <w:r w:rsidRPr="003D2124">
        <w:rPr>
          <w:rFonts w:ascii="Times New Roman" w:hAnsi="Times New Roman" w:cs="Times New Roman"/>
        </w:rPr>
        <w:t>1999</w:t>
      </w:r>
      <w:r w:rsidRPr="003D2124">
        <w:rPr>
          <w:rFonts w:ascii="Times New Roman" w:hAnsi="Times New Roman" w:cs="Times New Roman"/>
        </w:rPr>
        <w:t>年</w:t>
      </w:r>
      <w:r w:rsidRPr="003D2124">
        <w:rPr>
          <w:rFonts w:ascii="Times New Roman" w:hAnsi="Times New Roman" w:cs="Times New Roman"/>
        </w:rPr>
        <w:t>1</w:t>
      </w:r>
      <w:r w:rsidRPr="003D2124">
        <w:rPr>
          <w:rFonts w:ascii="Times New Roman" w:hAnsi="Times New Roman" w:cs="Times New Roman"/>
        </w:rPr>
        <w:t>月</w:t>
      </w:r>
      <w:r w:rsidRPr="003D2124">
        <w:rPr>
          <w:rFonts w:ascii="Times New Roman" w:hAnsi="Times New Roman" w:cs="Times New Roman"/>
        </w:rPr>
        <w:t>1</w:t>
      </w:r>
      <w:r w:rsidRPr="003D2124">
        <w:rPr>
          <w:rFonts w:ascii="Times New Roman" w:hAnsi="Times New Roman" w:cs="Times New Roman"/>
        </w:rPr>
        <w:t>日、</w:t>
      </w:r>
      <w:r w:rsidRPr="003D2124">
        <w:rPr>
          <w:rFonts w:ascii="Times New Roman" w:hAnsi="Times New Roman" w:cs="Times New Roman"/>
        </w:rPr>
        <w:t>EMU</w:t>
      </w:r>
      <w:r w:rsidRPr="003D2124">
        <w:rPr>
          <w:rFonts w:ascii="Times New Roman" w:hAnsi="Times New Roman" w:cs="Times New Roman"/>
        </w:rPr>
        <w:t>発足</w:t>
      </w:r>
      <w:r w:rsidR="00AA73AF">
        <w:rPr>
          <w:rFonts w:ascii="Times New Roman" w:hAnsi="Times New Roman" w:cs="Times New Roman" w:hint="eastAsia"/>
        </w:rPr>
        <w:t>による単一通貨の誕生と</w:t>
      </w:r>
      <w:r w:rsidR="00AA73AF">
        <w:rPr>
          <w:rFonts w:ascii="Times New Roman" w:hAnsi="Times New Roman" w:cs="Times New Roman" w:hint="eastAsia"/>
        </w:rPr>
        <w:t>2002</w:t>
      </w:r>
      <w:r w:rsidR="00AA73AF">
        <w:rPr>
          <w:rFonts w:ascii="Times New Roman" w:hAnsi="Times New Roman" w:cs="Times New Roman" w:hint="eastAsia"/>
        </w:rPr>
        <w:t>年の現金のユーロの流通はヨーロッパの銀行業界を一変させた。西欧の銀行は旧東欧を含めてヨーロッパ全域で国境を越えてビジネスを展開するようになった（星野、</w:t>
      </w:r>
      <w:r w:rsidR="00AA73AF">
        <w:rPr>
          <w:rFonts w:ascii="Times New Roman" w:hAnsi="Times New Roman" w:cs="Times New Roman" w:hint="eastAsia"/>
        </w:rPr>
        <w:t>2009</w:t>
      </w:r>
      <w:r w:rsidR="00AA73AF">
        <w:rPr>
          <w:rFonts w:ascii="Times New Roman" w:hAnsi="Times New Roman" w:cs="Times New Roman" w:hint="eastAsia"/>
        </w:rPr>
        <w:t>、</w:t>
      </w:r>
      <w:r w:rsidR="00AA73AF">
        <w:rPr>
          <w:rFonts w:ascii="Times New Roman" w:hAnsi="Times New Roman" w:cs="Times New Roman" w:hint="eastAsia"/>
        </w:rPr>
        <w:t>24-25</w:t>
      </w:r>
      <w:r w:rsidR="00AA73AF">
        <w:rPr>
          <w:rFonts w:ascii="Times New Roman" w:hAnsi="Times New Roman" w:cs="Times New Roman" w:hint="eastAsia"/>
        </w:rPr>
        <w:t>頁）。</w:t>
      </w:r>
      <w:r w:rsidRPr="003D2124">
        <w:rPr>
          <w:rFonts w:ascii="Times New Roman" w:hAnsi="Times New Roman" w:cs="Times New Roman"/>
        </w:rPr>
        <w:t>この</w:t>
      </w:r>
      <w:r w:rsidR="00FF15D1" w:rsidRPr="003D2124">
        <w:rPr>
          <w:rFonts w:ascii="Times New Roman" w:hAnsi="Times New Roman" w:cs="Times New Roman"/>
        </w:rPr>
        <w:t>前後から、</w:t>
      </w:r>
      <w:r w:rsidR="00BC633A" w:rsidRPr="003D2124">
        <w:rPr>
          <w:rFonts w:ascii="Times New Roman" w:hAnsi="Times New Roman" w:cs="Times New Roman"/>
        </w:rPr>
        <w:t>EU</w:t>
      </w:r>
      <w:r w:rsidR="00BC633A" w:rsidRPr="003D2124">
        <w:rPr>
          <w:rFonts w:ascii="Times New Roman" w:hAnsi="Times New Roman" w:cs="Times New Roman"/>
        </w:rPr>
        <w:t>諸国の</w:t>
      </w:r>
      <w:r w:rsidR="00FF15D1" w:rsidRPr="003D2124">
        <w:rPr>
          <w:rFonts w:ascii="Times New Roman" w:hAnsi="Times New Roman" w:cs="Times New Roman"/>
        </w:rPr>
        <w:t>銀行</w:t>
      </w:r>
      <w:r w:rsidR="00BC633A" w:rsidRPr="003D2124">
        <w:rPr>
          <w:rFonts w:ascii="Times New Roman" w:hAnsi="Times New Roman" w:cs="Times New Roman"/>
        </w:rPr>
        <w:t>の間の競争が激化</w:t>
      </w:r>
      <w:r w:rsidR="004E2730">
        <w:rPr>
          <w:rFonts w:ascii="Times New Roman" w:hAnsi="Times New Roman" w:cs="Times New Roman" w:hint="eastAsia"/>
        </w:rPr>
        <w:t>した</w:t>
      </w:r>
      <w:r w:rsidR="00BC633A" w:rsidRPr="003D2124">
        <w:rPr>
          <w:rFonts w:ascii="Times New Roman" w:hAnsi="Times New Roman" w:cs="Times New Roman"/>
        </w:rPr>
        <w:t>。ヨーロッパ規模でのグループ再編</w:t>
      </w:r>
      <w:r w:rsidR="009F52BB">
        <w:rPr>
          <w:rFonts w:ascii="Times New Roman" w:hAnsi="Times New Roman" w:cs="Times New Roman" w:hint="eastAsia"/>
        </w:rPr>
        <w:t>がなされ</w:t>
      </w:r>
      <w:r w:rsidR="00BC633A" w:rsidRPr="003D2124">
        <w:rPr>
          <w:rFonts w:ascii="Times New Roman" w:hAnsi="Times New Roman" w:cs="Times New Roman"/>
        </w:rPr>
        <w:t>、そして、</w:t>
      </w:r>
      <w:r w:rsidR="009F52BB">
        <w:rPr>
          <w:rFonts w:ascii="Times New Roman" w:hAnsi="Times New Roman" w:cs="Times New Roman" w:hint="eastAsia"/>
        </w:rPr>
        <w:t>これらは</w:t>
      </w:r>
      <w:r w:rsidR="00BC633A" w:rsidRPr="003D2124">
        <w:rPr>
          <w:rFonts w:ascii="Times New Roman" w:hAnsi="Times New Roman" w:cs="Times New Roman"/>
        </w:rPr>
        <w:t>中東欧に進出</w:t>
      </w:r>
      <w:r w:rsidR="009F52BB">
        <w:rPr>
          <w:rFonts w:ascii="Times New Roman" w:hAnsi="Times New Roman" w:cs="Times New Roman" w:hint="eastAsia"/>
        </w:rPr>
        <w:t>し</w:t>
      </w:r>
      <w:r w:rsidR="00BC633A" w:rsidRPr="003D2124">
        <w:rPr>
          <w:rFonts w:ascii="Times New Roman" w:hAnsi="Times New Roman" w:cs="Times New Roman"/>
        </w:rPr>
        <w:t>、現地の企業や家計に積極的に融資</w:t>
      </w:r>
      <w:r w:rsidR="00C27066">
        <w:rPr>
          <w:rFonts w:ascii="Times New Roman" w:hAnsi="Times New Roman" w:cs="Times New Roman" w:hint="eastAsia"/>
        </w:rPr>
        <w:t>した</w:t>
      </w:r>
      <w:r w:rsidR="00BC633A" w:rsidRPr="003D2124">
        <w:rPr>
          <w:rFonts w:ascii="Times New Roman" w:hAnsi="Times New Roman" w:cs="Times New Roman"/>
        </w:rPr>
        <w:t>。</w:t>
      </w:r>
    </w:p>
    <w:p w:rsidR="002321EA" w:rsidRPr="003D2124" w:rsidRDefault="00A57A77" w:rsidP="00AA73AF">
      <w:pPr>
        <w:ind w:firstLineChars="100" w:firstLine="210"/>
        <w:rPr>
          <w:rFonts w:ascii="Times New Roman" w:hAnsi="Times New Roman" w:cs="Times New Roman"/>
        </w:rPr>
      </w:pPr>
      <w:r>
        <w:rPr>
          <w:rFonts w:ascii="Times New Roman" w:hAnsi="Times New Roman" w:cs="Times New Roman" w:hint="eastAsia"/>
        </w:rPr>
        <w:t>本論文は、</w:t>
      </w:r>
      <w:r w:rsidR="00BC633A" w:rsidRPr="003D2124">
        <w:rPr>
          <w:rFonts w:ascii="Times New Roman" w:hAnsi="Times New Roman" w:cs="Times New Roman"/>
        </w:rPr>
        <w:t>クロス・ボーダーの資本移動の恩恵を受け、そして</w:t>
      </w:r>
      <w:r w:rsidR="005F627B">
        <w:rPr>
          <w:rFonts w:ascii="Times New Roman" w:hAnsi="Times New Roman" w:cs="Times New Roman" w:hint="eastAsia"/>
        </w:rPr>
        <w:t>また</w:t>
      </w:r>
      <w:r w:rsidR="00BC633A" w:rsidRPr="003D2124">
        <w:rPr>
          <w:rFonts w:ascii="Times New Roman" w:hAnsi="Times New Roman" w:cs="Times New Roman"/>
        </w:rPr>
        <w:t>それに翻弄された</w:t>
      </w:r>
      <w:r w:rsidR="002321EA" w:rsidRPr="003D2124">
        <w:rPr>
          <w:rFonts w:ascii="Times New Roman" w:hAnsi="Times New Roman" w:cs="Times New Roman"/>
        </w:rPr>
        <w:t>中東欧の小国、ラトヴィアとスロヴェニアを取り上げる。</w:t>
      </w:r>
      <w:r>
        <w:rPr>
          <w:rFonts w:ascii="Times New Roman" w:hAnsi="Times New Roman" w:cs="Times New Roman" w:hint="eastAsia"/>
        </w:rPr>
        <w:t>どちらも人口</w:t>
      </w:r>
      <w:r>
        <w:rPr>
          <w:rFonts w:ascii="Times New Roman" w:hAnsi="Times New Roman" w:cs="Times New Roman" w:hint="eastAsia"/>
        </w:rPr>
        <w:t>200</w:t>
      </w:r>
      <w:r>
        <w:rPr>
          <w:rFonts w:ascii="Times New Roman" w:hAnsi="Times New Roman" w:cs="Times New Roman" w:hint="eastAsia"/>
        </w:rPr>
        <w:t>万人あまりの小国であるが、少し性格が異なる。堀林（</w:t>
      </w:r>
      <w:r>
        <w:rPr>
          <w:rFonts w:ascii="Times New Roman" w:hAnsi="Times New Roman" w:cs="Times New Roman" w:hint="eastAsia"/>
        </w:rPr>
        <w:t>2014</w:t>
      </w:r>
      <w:r>
        <w:rPr>
          <w:rFonts w:ascii="Times New Roman" w:hAnsi="Times New Roman" w:cs="Times New Roman" w:hint="eastAsia"/>
        </w:rPr>
        <w:t>）は、ボーレ</w:t>
      </w:r>
      <w:r>
        <w:rPr>
          <w:rFonts w:ascii="Times New Roman" w:hAnsi="Times New Roman" w:cs="Times New Roman" w:hint="eastAsia"/>
        </w:rPr>
        <w:t>/</w:t>
      </w:r>
      <w:r>
        <w:rPr>
          <w:rFonts w:ascii="Times New Roman" w:hAnsi="Times New Roman" w:cs="Times New Roman" w:hint="eastAsia"/>
        </w:rPr>
        <w:t>グレシコヴィチの研究に依拠しながら、ラトヴィアを含むバルト諸国を「国家が作り出した純粋な新自由主義」、スロヴェニアを「国家が作り出したネオ・コーポラティズム」と性格付けしている</w:t>
      </w:r>
      <w:r>
        <w:rPr>
          <w:rStyle w:val="ae"/>
          <w:rFonts w:ascii="Times New Roman" w:hAnsi="Times New Roman" w:cs="Times New Roman"/>
        </w:rPr>
        <w:footnoteReference w:id="1"/>
      </w:r>
      <w:r>
        <w:rPr>
          <w:rFonts w:ascii="Times New Roman" w:hAnsi="Times New Roman" w:cs="Times New Roman" w:hint="eastAsia"/>
        </w:rPr>
        <w:t>（</w:t>
      </w:r>
      <w:r>
        <w:rPr>
          <w:rFonts w:ascii="Times New Roman" w:hAnsi="Times New Roman" w:cs="Times New Roman" w:hint="eastAsia"/>
        </w:rPr>
        <w:t>63</w:t>
      </w:r>
      <w:r>
        <w:rPr>
          <w:rFonts w:ascii="Times New Roman" w:hAnsi="Times New Roman" w:cs="Times New Roman" w:hint="eastAsia"/>
        </w:rPr>
        <w:t>頁）。</w:t>
      </w:r>
      <w:r w:rsidR="005F627B">
        <w:rPr>
          <w:rFonts w:ascii="Times New Roman" w:hAnsi="Times New Roman" w:cs="Times New Roman" w:hint="eastAsia"/>
        </w:rPr>
        <w:t>彼によると、「バルト三国の資本主義化国家戦略を規定した最も強い動機は、独立の維持、このことと関連して、過去とのラディカルな断絶であった。そのため当該諸国は、旧ソ連の経済システムとは最も遠い、そして米国の影響の強い、</w:t>
      </w:r>
      <w:r w:rsidR="005F627B">
        <w:rPr>
          <w:rFonts w:ascii="Times New Roman" w:hAnsi="Times New Roman" w:cs="Times New Roman" w:hint="eastAsia"/>
        </w:rPr>
        <w:t>IMF</w:t>
      </w:r>
      <w:r w:rsidR="005F627B">
        <w:rPr>
          <w:rFonts w:ascii="Times New Roman" w:hAnsi="Times New Roman" w:cs="Times New Roman" w:hint="eastAsia"/>
        </w:rPr>
        <w:t>・世界銀行などの国際機関が強く推奨するモデルを選択した」（</w:t>
      </w:r>
      <w:r w:rsidR="005F627B">
        <w:rPr>
          <w:rFonts w:ascii="Times New Roman" w:hAnsi="Times New Roman" w:cs="Times New Roman" w:hint="eastAsia"/>
        </w:rPr>
        <w:t>138</w:t>
      </w:r>
      <w:r w:rsidR="005F627B">
        <w:rPr>
          <w:rFonts w:ascii="Times New Roman" w:hAnsi="Times New Roman" w:cs="Times New Roman" w:hint="eastAsia"/>
        </w:rPr>
        <w:t>頁）。他方、「自主管理社会主義の伝統を有するスロヴェニアの国家戦略は、経路依存的な漸進的資本主義化であり、同国は、協調的労使関係を形を変えて存続させ、社会的包摂度の高い政策を選択した」</w:t>
      </w:r>
      <w:r w:rsidR="00C27066">
        <w:rPr>
          <w:rFonts w:ascii="Times New Roman" w:hAnsi="Times New Roman" w:cs="Times New Roman" w:hint="eastAsia"/>
        </w:rPr>
        <w:t>（</w:t>
      </w:r>
      <w:r w:rsidR="00C27066">
        <w:rPr>
          <w:rFonts w:ascii="Times New Roman" w:hAnsi="Times New Roman" w:cs="Times New Roman" w:hint="eastAsia"/>
        </w:rPr>
        <w:t>138</w:t>
      </w:r>
      <w:r w:rsidR="00C27066">
        <w:rPr>
          <w:rFonts w:ascii="Times New Roman" w:hAnsi="Times New Roman" w:cs="Times New Roman" w:hint="eastAsia"/>
        </w:rPr>
        <w:t>頁）</w:t>
      </w:r>
      <w:r w:rsidR="005F627B">
        <w:rPr>
          <w:rFonts w:ascii="Times New Roman" w:hAnsi="Times New Roman" w:cs="Times New Roman" w:hint="eastAsia"/>
        </w:rPr>
        <w:t>。</w:t>
      </w:r>
    </w:p>
    <w:p w:rsidR="00DD6FAF" w:rsidRPr="003D2124" w:rsidRDefault="00DD6FAF" w:rsidP="00E1323D">
      <w:pPr>
        <w:ind w:firstLineChars="100" w:firstLine="210"/>
        <w:rPr>
          <w:rFonts w:ascii="Times New Roman" w:hAnsi="Times New Roman" w:cs="Times New Roman"/>
        </w:rPr>
      </w:pPr>
      <w:r w:rsidRPr="003D2124">
        <w:rPr>
          <w:rFonts w:ascii="Times New Roman" w:hAnsi="Times New Roman" w:cs="Times New Roman"/>
        </w:rPr>
        <w:t>バルト諸国は</w:t>
      </w:r>
      <w:r w:rsidRPr="003D2124">
        <w:rPr>
          <w:rFonts w:ascii="Times New Roman" w:hAnsi="Times New Roman" w:cs="Times New Roman"/>
        </w:rPr>
        <w:t>2000</w:t>
      </w:r>
      <w:r w:rsidRPr="003D2124">
        <w:rPr>
          <w:rFonts w:ascii="Times New Roman" w:hAnsi="Times New Roman" w:cs="Times New Roman"/>
        </w:rPr>
        <w:t>年代の半ば</w:t>
      </w:r>
      <w:r w:rsidR="009D505B">
        <w:rPr>
          <w:rFonts w:ascii="Times New Roman" w:hAnsi="Times New Roman" w:cs="Times New Roman" w:hint="eastAsia"/>
        </w:rPr>
        <w:t>に</w:t>
      </w:r>
      <w:r w:rsidRPr="003D2124">
        <w:rPr>
          <w:rFonts w:ascii="Times New Roman" w:hAnsi="Times New Roman" w:cs="Times New Roman"/>
        </w:rPr>
        <w:t>2</w:t>
      </w:r>
      <w:r w:rsidRPr="003D2124">
        <w:rPr>
          <w:rFonts w:ascii="Times New Roman" w:hAnsi="Times New Roman" w:cs="Times New Roman"/>
        </w:rPr>
        <w:t>桁の成長率で高度成長</w:t>
      </w:r>
      <w:r w:rsidR="009D505B">
        <w:rPr>
          <w:rFonts w:ascii="Times New Roman" w:hAnsi="Times New Roman" w:cs="Times New Roman" w:hint="eastAsia"/>
        </w:rPr>
        <w:t>を遂げた</w:t>
      </w:r>
      <w:r w:rsidRPr="003D2124">
        <w:rPr>
          <w:rFonts w:ascii="Times New Roman" w:hAnsi="Times New Roman" w:cs="Times New Roman"/>
        </w:rPr>
        <w:t>。旧ユーゴを構成したスロヴェニアは</w:t>
      </w:r>
      <w:r w:rsidRPr="003D2124">
        <w:rPr>
          <w:rFonts w:ascii="Times New Roman" w:hAnsi="Times New Roman" w:cs="Times New Roman"/>
        </w:rPr>
        <w:t>90</w:t>
      </w:r>
      <w:r w:rsidRPr="003D2124">
        <w:rPr>
          <w:rFonts w:ascii="Times New Roman" w:hAnsi="Times New Roman" w:cs="Times New Roman"/>
        </w:rPr>
        <w:t>年代半ば以来、着実な成長を続けてきたが、</w:t>
      </w:r>
      <w:r w:rsidRPr="003D2124">
        <w:rPr>
          <w:rFonts w:ascii="Times New Roman" w:hAnsi="Times New Roman" w:cs="Times New Roman"/>
        </w:rPr>
        <w:t>2005</w:t>
      </w:r>
      <w:r w:rsidRPr="003D2124">
        <w:rPr>
          <w:rFonts w:ascii="Times New Roman" w:hAnsi="Times New Roman" w:cs="Times New Roman"/>
        </w:rPr>
        <w:t>年から</w:t>
      </w:r>
      <w:r w:rsidRPr="003D2124">
        <w:rPr>
          <w:rFonts w:ascii="Times New Roman" w:hAnsi="Times New Roman" w:cs="Times New Roman"/>
        </w:rPr>
        <w:t>2008</w:t>
      </w:r>
      <w:r w:rsidRPr="003D2124">
        <w:rPr>
          <w:rFonts w:ascii="Times New Roman" w:hAnsi="Times New Roman" w:cs="Times New Roman"/>
        </w:rPr>
        <w:t>年にかけて成長を加速</w:t>
      </w:r>
      <w:r w:rsidR="009D505B">
        <w:rPr>
          <w:rFonts w:ascii="Times New Roman" w:hAnsi="Times New Roman" w:cs="Times New Roman" w:hint="eastAsia"/>
        </w:rPr>
        <w:t>した</w:t>
      </w:r>
      <w:r w:rsidRPr="003D2124">
        <w:rPr>
          <w:rFonts w:ascii="Times New Roman" w:hAnsi="Times New Roman" w:cs="Times New Roman"/>
        </w:rPr>
        <w:t>。</w:t>
      </w:r>
      <w:r w:rsidR="00E04A05" w:rsidRPr="003D2124">
        <w:rPr>
          <w:rFonts w:ascii="Times New Roman" w:hAnsi="Times New Roman" w:cs="Times New Roman"/>
        </w:rPr>
        <w:t>どちらも</w:t>
      </w:r>
      <w:r w:rsidRPr="003D2124">
        <w:rPr>
          <w:rFonts w:ascii="Times New Roman" w:hAnsi="Times New Roman" w:cs="Times New Roman"/>
        </w:rPr>
        <w:t>バブル、一種のカジノ経済を経験</w:t>
      </w:r>
      <w:r w:rsidR="009D505B">
        <w:rPr>
          <w:rFonts w:ascii="Times New Roman" w:hAnsi="Times New Roman" w:cs="Times New Roman" w:hint="eastAsia"/>
        </w:rPr>
        <w:t>した</w:t>
      </w:r>
      <w:r w:rsidRPr="003D2124">
        <w:rPr>
          <w:rFonts w:ascii="Times New Roman" w:hAnsi="Times New Roman" w:cs="Times New Roman"/>
        </w:rPr>
        <w:t>。</w:t>
      </w:r>
      <w:r w:rsidR="008E78D7" w:rsidRPr="003D2124">
        <w:rPr>
          <w:rFonts w:ascii="Times New Roman" w:hAnsi="Times New Roman" w:cs="Times New Roman"/>
        </w:rPr>
        <w:t>EU</w:t>
      </w:r>
      <w:r w:rsidR="008E78D7" w:rsidRPr="003D2124">
        <w:rPr>
          <w:rFonts w:ascii="Times New Roman" w:hAnsi="Times New Roman" w:cs="Times New Roman"/>
        </w:rPr>
        <w:t>に加盟して、多くの国民は</w:t>
      </w:r>
      <w:r w:rsidR="008E78D7" w:rsidRPr="003D2124">
        <w:rPr>
          <w:rFonts w:ascii="Times New Roman" w:hAnsi="Times New Roman" w:cs="Times New Roman"/>
        </w:rPr>
        <w:t>EU-</w:t>
      </w:r>
      <w:proofErr w:type="spellStart"/>
      <w:r w:rsidR="008E78D7" w:rsidRPr="003D2124">
        <w:rPr>
          <w:rFonts w:ascii="Times New Roman" w:hAnsi="Times New Roman" w:cs="Times New Roman"/>
        </w:rPr>
        <w:t>phoria</w:t>
      </w:r>
      <w:proofErr w:type="spellEnd"/>
      <w:r w:rsidR="00450D0A">
        <w:rPr>
          <w:rStyle w:val="ae"/>
          <w:rFonts w:ascii="Times New Roman" w:hAnsi="Times New Roman" w:cs="Times New Roman"/>
        </w:rPr>
        <w:footnoteReference w:id="2"/>
      </w:r>
      <w:r w:rsidR="008E78D7" w:rsidRPr="003D2124">
        <w:rPr>
          <w:rFonts w:ascii="Times New Roman" w:hAnsi="Times New Roman" w:cs="Times New Roman"/>
        </w:rPr>
        <w:t>（</w:t>
      </w:r>
      <w:r w:rsidR="008E78D7" w:rsidRPr="003D2124">
        <w:rPr>
          <w:rFonts w:ascii="Times New Roman" w:hAnsi="Times New Roman" w:cs="Times New Roman"/>
        </w:rPr>
        <w:t>EU</w:t>
      </w:r>
      <w:r w:rsidR="008E78D7" w:rsidRPr="003D2124">
        <w:rPr>
          <w:rFonts w:ascii="Times New Roman" w:hAnsi="Times New Roman" w:cs="Times New Roman"/>
        </w:rPr>
        <w:t>に加盟して幸せいっぱいの気分）に浸っていたようだ。</w:t>
      </w:r>
      <w:r w:rsidR="002321EA" w:rsidRPr="003D2124">
        <w:rPr>
          <w:rFonts w:ascii="Times New Roman" w:hAnsi="Times New Roman" w:cs="Times New Roman"/>
        </w:rPr>
        <w:t>このカジノ経済化には外資が</w:t>
      </w:r>
      <w:r w:rsidR="00E1323D">
        <w:rPr>
          <w:rFonts w:ascii="Times New Roman" w:hAnsi="Times New Roman" w:cs="Times New Roman" w:hint="eastAsia"/>
        </w:rPr>
        <w:t>大きく</w:t>
      </w:r>
      <w:r w:rsidR="002321EA" w:rsidRPr="003D2124">
        <w:rPr>
          <w:rFonts w:ascii="Times New Roman" w:hAnsi="Times New Roman" w:cs="Times New Roman"/>
        </w:rPr>
        <w:t>作用</w:t>
      </w:r>
      <w:r w:rsidR="00E1323D">
        <w:rPr>
          <w:rFonts w:ascii="Times New Roman" w:hAnsi="Times New Roman" w:cs="Times New Roman" w:hint="eastAsia"/>
        </w:rPr>
        <w:t>していた</w:t>
      </w:r>
      <w:r w:rsidR="002321EA" w:rsidRPr="003D2124">
        <w:rPr>
          <w:rFonts w:ascii="Times New Roman" w:hAnsi="Times New Roman" w:cs="Times New Roman"/>
        </w:rPr>
        <w:t>。両国とも</w:t>
      </w:r>
      <w:r w:rsidR="002321EA" w:rsidRPr="003D2124">
        <w:rPr>
          <w:rFonts w:ascii="Times New Roman" w:hAnsi="Times New Roman" w:cs="Times New Roman"/>
        </w:rPr>
        <w:t>2008</w:t>
      </w:r>
      <w:r w:rsidR="002321EA" w:rsidRPr="003D2124">
        <w:rPr>
          <w:rFonts w:ascii="Times New Roman" w:hAnsi="Times New Roman" w:cs="Times New Roman"/>
        </w:rPr>
        <w:t>年のリーマン・ショックで</w:t>
      </w:r>
      <w:r w:rsidRPr="003D2124">
        <w:rPr>
          <w:rFonts w:ascii="Times New Roman" w:hAnsi="Times New Roman" w:cs="Times New Roman"/>
        </w:rPr>
        <w:t>足をすくわれ</w:t>
      </w:r>
      <w:r w:rsidR="00C27066">
        <w:rPr>
          <w:rFonts w:ascii="Times New Roman" w:hAnsi="Times New Roman" w:cs="Times New Roman" w:hint="eastAsia"/>
        </w:rPr>
        <w:t>た</w:t>
      </w:r>
      <w:r w:rsidRPr="003D2124">
        <w:rPr>
          <w:rFonts w:ascii="Times New Roman" w:hAnsi="Times New Roman" w:cs="Times New Roman"/>
        </w:rPr>
        <w:t>。</w:t>
      </w:r>
      <w:r w:rsidR="00BC633A" w:rsidRPr="003D2124">
        <w:rPr>
          <w:rFonts w:ascii="Times New Roman" w:hAnsi="Times New Roman" w:cs="Times New Roman"/>
        </w:rPr>
        <w:t>両国の事例には共通点と同時に違いも存在</w:t>
      </w:r>
      <w:r w:rsidR="009D505B">
        <w:rPr>
          <w:rFonts w:ascii="Times New Roman" w:hAnsi="Times New Roman" w:cs="Times New Roman" w:hint="eastAsia"/>
        </w:rPr>
        <w:t>する</w:t>
      </w:r>
      <w:r w:rsidR="00BC633A" w:rsidRPr="003D2124">
        <w:rPr>
          <w:rFonts w:ascii="Times New Roman" w:hAnsi="Times New Roman" w:cs="Times New Roman"/>
        </w:rPr>
        <w:t>。</w:t>
      </w:r>
      <w:r w:rsidR="00694B35">
        <w:rPr>
          <w:rFonts w:ascii="Times New Roman" w:hAnsi="Times New Roman" w:cs="Times New Roman" w:hint="eastAsia"/>
        </w:rPr>
        <w:t>本稿</w:t>
      </w:r>
      <w:r w:rsidR="00694B35">
        <w:rPr>
          <w:rStyle w:val="ae"/>
          <w:rFonts w:ascii="Times New Roman" w:hAnsi="Times New Roman" w:cs="Times New Roman"/>
        </w:rPr>
        <w:footnoteReference w:id="3"/>
      </w:r>
      <w:r w:rsidR="00323898">
        <w:rPr>
          <w:rFonts w:ascii="Times New Roman" w:hAnsi="Times New Roman" w:cs="Times New Roman" w:hint="eastAsia"/>
        </w:rPr>
        <w:t>の目的</w:t>
      </w:r>
      <w:r w:rsidR="00694B35">
        <w:rPr>
          <w:rFonts w:ascii="Times New Roman" w:hAnsi="Times New Roman" w:cs="Times New Roman" w:hint="eastAsia"/>
        </w:rPr>
        <w:t>は、それらを</w:t>
      </w:r>
      <w:r w:rsidR="00BC633A" w:rsidRPr="003D2124">
        <w:rPr>
          <w:rFonts w:ascii="Times New Roman" w:hAnsi="Times New Roman" w:cs="Times New Roman"/>
        </w:rPr>
        <w:t>検討</w:t>
      </w:r>
      <w:r w:rsidR="00BC633A" w:rsidRPr="003D2124">
        <w:rPr>
          <w:rFonts w:ascii="Times New Roman" w:hAnsi="Times New Roman" w:cs="Times New Roman"/>
        </w:rPr>
        <w:lastRenderedPageBreak/>
        <w:t>し、</w:t>
      </w:r>
      <w:r w:rsidR="00323898">
        <w:rPr>
          <w:rFonts w:ascii="Times New Roman" w:hAnsi="Times New Roman" w:cs="Times New Roman" w:hint="eastAsia"/>
        </w:rPr>
        <w:t>中東欧小国にとってユーロの登場と</w:t>
      </w:r>
      <w:r w:rsidR="00323898">
        <w:rPr>
          <w:rFonts w:ascii="Times New Roman" w:hAnsi="Times New Roman" w:cs="Times New Roman" w:hint="eastAsia"/>
        </w:rPr>
        <w:t>EU</w:t>
      </w:r>
      <w:r w:rsidR="00323898">
        <w:rPr>
          <w:rFonts w:ascii="Times New Roman" w:hAnsi="Times New Roman" w:cs="Times New Roman" w:hint="eastAsia"/>
        </w:rPr>
        <w:t>加盟がもつ意味を考察し、両国の苦い経験から</w:t>
      </w:r>
      <w:r w:rsidR="00BC633A" w:rsidRPr="003D2124">
        <w:rPr>
          <w:rFonts w:ascii="Times New Roman" w:hAnsi="Times New Roman" w:cs="Times New Roman"/>
        </w:rPr>
        <w:t>教訓を引き出</w:t>
      </w:r>
      <w:r w:rsidR="00323898">
        <w:rPr>
          <w:rFonts w:ascii="Times New Roman" w:hAnsi="Times New Roman" w:cs="Times New Roman" w:hint="eastAsia"/>
        </w:rPr>
        <w:t>し、</w:t>
      </w:r>
      <w:r w:rsidR="00323898">
        <w:rPr>
          <w:rFonts w:ascii="Times New Roman" w:hAnsi="Times New Roman" w:cs="Times New Roman" w:hint="eastAsia"/>
        </w:rPr>
        <w:t>EU</w:t>
      </w:r>
      <w:r w:rsidR="00323898">
        <w:rPr>
          <w:rFonts w:ascii="Times New Roman" w:hAnsi="Times New Roman" w:cs="Times New Roman" w:hint="eastAsia"/>
        </w:rPr>
        <w:t>の金融監督体制の今後の在り方を考える材料を提供することである</w:t>
      </w:r>
      <w:r w:rsidR="00BC633A" w:rsidRPr="003D2124">
        <w:rPr>
          <w:rFonts w:ascii="Times New Roman" w:hAnsi="Times New Roman" w:cs="Times New Roman"/>
        </w:rPr>
        <w:t>。</w:t>
      </w:r>
    </w:p>
    <w:p w:rsidR="00DD6FAF" w:rsidRPr="00323898" w:rsidRDefault="00DD6FAF">
      <w:pPr>
        <w:rPr>
          <w:rFonts w:ascii="Times New Roman" w:hAnsi="Times New Roman" w:cs="Times New Roman"/>
        </w:rPr>
      </w:pPr>
    </w:p>
    <w:p w:rsidR="009F3B67" w:rsidRPr="003D2124" w:rsidRDefault="004E2730">
      <w:pPr>
        <w:rPr>
          <w:rFonts w:ascii="Times New Roman" w:hAnsi="Times New Roman" w:cs="Times New Roman"/>
          <w:b/>
        </w:rPr>
      </w:pPr>
      <w:r>
        <w:rPr>
          <w:rFonts w:ascii="Times New Roman" w:hAnsi="Times New Roman" w:cs="Times New Roman" w:hint="eastAsia"/>
          <w:b/>
        </w:rPr>
        <w:t>II.</w:t>
      </w:r>
      <w:r>
        <w:rPr>
          <w:rFonts w:ascii="Times New Roman" w:hAnsi="Times New Roman" w:cs="Times New Roman" w:hint="eastAsia"/>
          <w:b/>
        </w:rPr>
        <w:t xml:space="preserve">　</w:t>
      </w:r>
      <w:r w:rsidR="0064608E" w:rsidRPr="003D2124">
        <w:rPr>
          <w:rFonts w:ascii="Times New Roman" w:hAnsi="Times New Roman" w:cs="Times New Roman"/>
          <w:b/>
        </w:rPr>
        <w:t>ラトヴィア経済</w:t>
      </w:r>
    </w:p>
    <w:p w:rsidR="00476769" w:rsidRDefault="00476769" w:rsidP="00127D9B">
      <w:pPr>
        <w:rPr>
          <w:rFonts w:ascii="Times New Roman" w:hAnsi="Times New Roman" w:cs="Times New Roman"/>
        </w:rPr>
      </w:pPr>
      <w:r>
        <w:rPr>
          <w:rFonts w:ascii="Times New Roman" w:hAnsi="Times New Roman" w:cs="Times New Roman" w:hint="eastAsia"/>
        </w:rPr>
        <w:t xml:space="preserve">　この国の産業構造の概略は次のとおりである。農林業が</w:t>
      </w:r>
      <w:r>
        <w:rPr>
          <w:rFonts w:ascii="Times New Roman" w:hAnsi="Times New Roman" w:cs="Times New Roman" w:hint="eastAsia"/>
        </w:rPr>
        <w:t>GDP</w:t>
      </w:r>
      <w:r>
        <w:rPr>
          <w:rFonts w:ascii="Times New Roman" w:hAnsi="Times New Roman" w:cs="Times New Roman" w:hint="eastAsia"/>
        </w:rPr>
        <w:t>の約</w:t>
      </w:r>
      <w:r>
        <w:rPr>
          <w:rFonts w:ascii="Times New Roman" w:hAnsi="Times New Roman" w:cs="Times New Roman" w:hint="eastAsia"/>
        </w:rPr>
        <w:t>5</w:t>
      </w:r>
      <w:r>
        <w:rPr>
          <w:rFonts w:ascii="Times New Roman" w:hAnsi="Times New Roman" w:cs="Times New Roman" w:hint="eastAsia"/>
        </w:rPr>
        <w:t>％、製造業が約</w:t>
      </w:r>
      <w:r>
        <w:rPr>
          <w:rFonts w:ascii="Times New Roman" w:hAnsi="Times New Roman" w:cs="Times New Roman" w:hint="eastAsia"/>
        </w:rPr>
        <w:t>25</w:t>
      </w:r>
      <w:r>
        <w:rPr>
          <w:rFonts w:ascii="Times New Roman" w:hAnsi="Times New Roman" w:cs="Times New Roman" w:hint="eastAsia"/>
        </w:rPr>
        <w:t>％を占めている。主たる輸出品目は木材および家具などの木製品、鋳鉄・鉄鋼などのいわゆるローテク・中テク製品である。</w:t>
      </w:r>
      <w:r>
        <w:rPr>
          <w:rFonts w:ascii="Times New Roman" w:hAnsi="Times New Roman" w:cs="Times New Roman" w:hint="eastAsia"/>
        </w:rPr>
        <w:t>GDP</w:t>
      </w:r>
      <w:r>
        <w:rPr>
          <w:rFonts w:ascii="Times New Roman" w:hAnsi="Times New Roman" w:cs="Times New Roman" w:hint="eastAsia"/>
        </w:rPr>
        <w:t>の</w:t>
      </w:r>
      <w:r>
        <w:rPr>
          <w:rFonts w:ascii="Times New Roman" w:hAnsi="Times New Roman" w:cs="Times New Roman" w:hint="eastAsia"/>
        </w:rPr>
        <w:t>70</w:t>
      </w:r>
      <w:r>
        <w:rPr>
          <w:rFonts w:ascii="Times New Roman" w:hAnsi="Times New Roman" w:cs="Times New Roman" w:hint="eastAsia"/>
        </w:rPr>
        <w:t>％近くを占めるのが、サービス・セクターである。この中には商業、金融、運輸、海運業、保管、不動産、</w:t>
      </w:r>
      <w:r>
        <w:rPr>
          <w:rFonts w:ascii="Times New Roman" w:hAnsi="Times New Roman" w:cs="Times New Roman" w:hint="eastAsia"/>
        </w:rPr>
        <w:t>IT</w:t>
      </w:r>
      <w:r>
        <w:rPr>
          <w:rFonts w:ascii="Times New Roman" w:hAnsi="Times New Roman" w:cs="Times New Roman" w:hint="eastAsia"/>
        </w:rPr>
        <w:t>産業などが含まれる。</w:t>
      </w:r>
    </w:p>
    <w:p w:rsidR="00127D9B" w:rsidRDefault="00C35908">
      <w:pPr>
        <w:rPr>
          <w:rFonts w:ascii="Times New Roman" w:hAnsi="Times New Roman" w:cs="Times New Roman"/>
        </w:rPr>
      </w:pPr>
      <w:r>
        <w:rPr>
          <w:rFonts w:ascii="Times New Roman" w:hAnsi="Times New Roman" w:cs="Times New Roman" w:hint="eastAsia"/>
        </w:rPr>
        <w:t xml:space="preserve">　</w:t>
      </w:r>
      <w:r w:rsidR="009D505B">
        <w:rPr>
          <w:rFonts w:ascii="Times New Roman" w:hAnsi="Times New Roman" w:cs="Times New Roman" w:hint="eastAsia"/>
        </w:rPr>
        <w:t>ラトヴィアは</w:t>
      </w:r>
      <w:r w:rsidR="00F817C5" w:rsidRPr="00F817C5">
        <w:rPr>
          <w:rFonts w:ascii="Times New Roman" w:hAnsi="Times New Roman" w:cs="Times New Roman"/>
        </w:rPr>
        <w:t>1990</w:t>
      </w:r>
      <w:r w:rsidR="00F817C5" w:rsidRPr="00F817C5">
        <w:rPr>
          <w:rFonts w:ascii="Times New Roman" w:hAnsi="Times New Roman" w:cs="Times New Roman"/>
        </w:rPr>
        <w:t>年代初めに深刻な転換不況を経験したが、</w:t>
      </w:r>
      <w:r w:rsidRPr="00F817C5">
        <w:rPr>
          <w:rFonts w:ascii="Times New Roman" w:hAnsi="Times New Roman" w:cs="Times New Roman"/>
          <w:szCs w:val="21"/>
        </w:rPr>
        <w:t>経済は</w:t>
      </w:r>
      <w:r w:rsidRPr="00F817C5">
        <w:rPr>
          <w:rFonts w:ascii="Times New Roman" w:hAnsi="Times New Roman" w:cs="Times New Roman"/>
          <w:szCs w:val="21"/>
        </w:rPr>
        <w:t>1995</w:t>
      </w:r>
      <w:r w:rsidRPr="00F817C5">
        <w:rPr>
          <w:rFonts w:ascii="Times New Roman" w:hAnsi="Times New Roman" w:cs="Times New Roman"/>
          <w:szCs w:val="21"/>
        </w:rPr>
        <w:t>年前後から上向きに転じた。</w:t>
      </w:r>
      <w:r w:rsidRPr="00F817C5">
        <w:rPr>
          <w:rFonts w:ascii="Times New Roman" w:hAnsi="Times New Roman" w:cs="Times New Roman"/>
          <w:szCs w:val="21"/>
        </w:rPr>
        <w:t>1998</w:t>
      </w:r>
      <w:r w:rsidRPr="00F817C5">
        <w:rPr>
          <w:rFonts w:ascii="Times New Roman" w:hAnsi="Times New Roman" w:cs="Times New Roman"/>
          <w:szCs w:val="21"/>
        </w:rPr>
        <w:t>年</w:t>
      </w:r>
      <w:r w:rsidRPr="00F817C5">
        <w:rPr>
          <w:rFonts w:ascii="Times New Roman" w:hAnsi="Times New Roman" w:cs="Times New Roman"/>
          <w:szCs w:val="21"/>
        </w:rPr>
        <w:t>8</w:t>
      </w:r>
      <w:r w:rsidRPr="00F817C5">
        <w:rPr>
          <w:rFonts w:ascii="Times New Roman" w:hAnsi="Times New Roman" w:cs="Times New Roman"/>
          <w:szCs w:val="21"/>
        </w:rPr>
        <w:t>月のロシア金融危機の影響を受け、翌</w:t>
      </w:r>
      <w:r w:rsidRPr="00F817C5">
        <w:rPr>
          <w:rFonts w:ascii="Times New Roman" w:hAnsi="Times New Roman" w:cs="Times New Roman"/>
          <w:szCs w:val="21"/>
        </w:rPr>
        <w:t>1999</w:t>
      </w:r>
      <w:r w:rsidRPr="00F817C5">
        <w:rPr>
          <w:rFonts w:ascii="Times New Roman" w:hAnsi="Times New Roman" w:cs="Times New Roman"/>
          <w:szCs w:val="21"/>
        </w:rPr>
        <w:t>年に停滞した（</w:t>
      </w:r>
      <w:r w:rsidRPr="00F817C5">
        <w:rPr>
          <w:rFonts w:ascii="Times New Roman" w:hAnsi="Times New Roman" w:cs="Times New Roman"/>
          <w:szCs w:val="21"/>
        </w:rPr>
        <w:t>GDP</w:t>
      </w:r>
      <w:r w:rsidRPr="00F817C5">
        <w:rPr>
          <w:rFonts w:ascii="Times New Roman" w:hAnsi="Times New Roman" w:cs="Times New Roman"/>
          <w:szCs w:val="21"/>
        </w:rPr>
        <w:t>成長率はラトヴィアでは</w:t>
      </w:r>
      <w:r w:rsidRPr="00F817C5">
        <w:rPr>
          <w:rFonts w:ascii="Times New Roman" w:hAnsi="Times New Roman" w:cs="Times New Roman"/>
          <w:szCs w:val="21"/>
        </w:rPr>
        <w:t>3.3%</w:t>
      </w:r>
      <w:r w:rsidRPr="00F817C5">
        <w:rPr>
          <w:rFonts w:ascii="Times New Roman" w:hAnsi="Times New Roman" w:cs="Times New Roman"/>
          <w:szCs w:val="21"/>
        </w:rPr>
        <w:t>、エストニアでは－</w:t>
      </w:r>
      <w:r w:rsidRPr="00F817C5">
        <w:rPr>
          <w:rFonts w:ascii="Times New Roman" w:hAnsi="Times New Roman" w:cs="Times New Roman"/>
          <w:szCs w:val="21"/>
        </w:rPr>
        <w:t>0.1%</w:t>
      </w:r>
      <w:r w:rsidRPr="00F817C5">
        <w:rPr>
          <w:rFonts w:ascii="Times New Roman" w:hAnsi="Times New Roman" w:cs="Times New Roman"/>
          <w:szCs w:val="21"/>
        </w:rPr>
        <w:t>、リトアニアでは－</w:t>
      </w:r>
      <w:r w:rsidRPr="00F817C5">
        <w:rPr>
          <w:rFonts w:ascii="Times New Roman" w:hAnsi="Times New Roman" w:cs="Times New Roman"/>
          <w:szCs w:val="21"/>
        </w:rPr>
        <w:t>1.5%</w:t>
      </w:r>
      <w:r w:rsidRPr="00F817C5">
        <w:rPr>
          <w:rFonts w:ascii="Times New Roman" w:hAnsi="Times New Roman" w:cs="Times New Roman"/>
          <w:szCs w:val="21"/>
        </w:rPr>
        <w:t>へと低下）ものの、</w:t>
      </w:r>
      <w:r w:rsidRPr="00F817C5">
        <w:rPr>
          <w:rFonts w:ascii="Times New Roman" w:hAnsi="Times New Roman" w:cs="Times New Roman"/>
          <w:szCs w:val="21"/>
        </w:rPr>
        <w:t>2000</w:t>
      </w:r>
      <w:r w:rsidRPr="00F817C5">
        <w:rPr>
          <w:rFonts w:ascii="Times New Roman" w:hAnsi="Times New Roman" w:cs="Times New Roman"/>
          <w:szCs w:val="21"/>
        </w:rPr>
        <w:t>年以降高度経済成長を遂げた。ラト</w:t>
      </w:r>
      <w:r w:rsidR="009D505B">
        <w:rPr>
          <w:rFonts w:ascii="Times New Roman" w:hAnsi="Times New Roman" w:cs="Times New Roman" w:hint="eastAsia"/>
          <w:szCs w:val="21"/>
        </w:rPr>
        <w:t>ヴィ</w:t>
      </w:r>
      <w:r w:rsidRPr="00F817C5">
        <w:rPr>
          <w:rFonts w:ascii="Times New Roman" w:hAnsi="Times New Roman" w:cs="Times New Roman"/>
          <w:szCs w:val="21"/>
        </w:rPr>
        <w:t>アは</w:t>
      </w:r>
      <w:r w:rsidRPr="00F817C5">
        <w:rPr>
          <w:rFonts w:ascii="Times New Roman" w:hAnsi="Times New Roman" w:cs="Times New Roman"/>
          <w:szCs w:val="21"/>
        </w:rPr>
        <w:t>2005</w:t>
      </w:r>
      <w:r w:rsidRPr="00F817C5">
        <w:rPr>
          <w:rFonts w:ascii="Times New Roman" w:hAnsi="Times New Roman" w:cs="Times New Roman"/>
          <w:szCs w:val="21"/>
        </w:rPr>
        <w:t>年から連続</w:t>
      </w:r>
      <w:r w:rsidRPr="00F817C5">
        <w:rPr>
          <w:rFonts w:ascii="Times New Roman" w:hAnsi="Times New Roman" w:cs="Times New Roman"/>
          <w:szCs w:val="21"/>
        </w:rPr>
        <w:t>3</w:t>
      </w:r>
      <w:r w:rsidRPr="00F817C5">
        <w:rPr>
          <w:rFonts w:ascii="Times New Roman" w:hAnsi="Times New Roman" w:cs="Times New Roman"/>
          <w:szCs w:val="21"/>
        </w:rPr>
        <w:t>年、</w:t>
      </w:r>
      <w:r w:rsidRPr="00F817C5">
        <w:rPr>
          <w:rFonts w:ascii="Times New Roman" w:hAnsi="Times New Roman" w:cs="Times New Roman"/>
          <w:szCs w:val="21"/>
        </w:rPr>
        <w:t>2</w:t>
      </w:r>
      <w:r w:rsidRPr="00F817C5">
        <w:rPr>
          <w:rFonts w:ascii="Times New Roman" w:hAnsi="Times New Roman" w:cs="Times New Roman"/>
          <w:szCs w:val="21"/>
        </w:rPr>
        <w:t>桁の経済成長を遂げ、エストニアは</w:t>
      </w:r>
      <w:r w:rsidRPr="00F817C5">
        <w:rPr>
          <w:rFonts w:ascii="Times New Roman" w:hAnsi="Times New Roman" w:cs="Times New Roman"/>
          <w:szCs w:val="21"/>
        </w:rPr>
        <w:t>2005</w:t>
      </w:r>
      <w:r w:rsidRPr="00F817C5">
        <w:rPr>
          <w:rFonts w:ascii="Times New Roman" w:hAnsi="Times New Roman" w:cs="Times New Roman"/>
          <w:szCs w:val="21"/>
        </w:rPr>
        <w:t>年から連続</w:t>
      </w:r>
      <w:r w:rsidRPr="00F817C5">
        <w:rPr>
          <w:rFonts w:ascii="Times New Roman" w:hAnsi="Times New Roman" w:cs="Times New Roman"/>
          <w:szCs w:val="21"/>
        </w:rPr>
        <w:t>2</w:t>
      </w:r>
      <w:r w:rsidRPr="00F817C5">
        <w:rPr>
          <w:rFonts w:ascii="Times New Roman" w:hAnsi="Times New Roman" w:cs="Times New Roman"/>
          <w:szCs w:val="21"/>
        </w:rPr>
        <w:t>年、</w:t>
      </w:r>
      <w:r w:rsidRPr="00F817C5">
        <w:rPr>
          <w:rFonts w:ascii="Times New Roman" w:hAnsi="Times New Roman" w:cs="Times New Roman"/>
          <w:szCs w:val="21"/>
        </w:rPr>
        <w:t>2</w:t>
      </w:r>
      <w:r w:rsidRPr="00F817C5">
        <w:rPr>
          <w:rFonts w:ascii="Times New Roman" w:hAnsi="Times New Roman" w:cs="Times New Roman"/>
          <w:szCs w:val="21"/>
        </w:rPr>
        <w:t>桁の経済成長を遂げた。こうした高度経済成長は、一つには積極的な外資導入策のおかげであった。</w:t>
      </w:r>
      <w:r w:rsidRPr="00F817C5">
        <w:rPr>
          <w:rFonts w:ascii="Times New Roman" w:hAnsi="Times New Roman" w:cs="Times New Roman"/>
          <w:szCs w:val="21"/>
        </w:rPr>
        <w:t>EU</w:t>
      </w:r>
      <w:r w:rsidRPr="00F817C5">
        <w:rPr>
          <w:rFonts w:ascii="Times New Roman" w:hAnsi="Times New Roman" w:cs="Times New Roman"/>
          <w:szCs w:val="21"/>
        </w:rPr>
        <w:t>加盟以前からすでに</w:t>
      </w:r>
      <w:r w:rsidRPr="00F817C5">
        <w:rPr>
          <w:rFonts w:ascii="Times New Roman" w:hAnsi="Times New Roman" w:cs="Times New Roman"/>
          <w:szCs w:val="21"/>
        </w:rPr>
        <w:t>FDI</w:t>
      </w:r>
      <w:r w:rsidRPr="00F817C5">
        <w:rPr>
          <w:rFonts w:ascii="Times New Roman" w:hAnsi="Times New Roman" w:cs="Times New Roman"/>
          <w:szCs w:val="21"/>
        </w:rPr>
        <w:t>流入額は非常に多かった。</w:t>
      </w:r>
      <w:r w:rsidRPr="00F817C5">
        <w:rPr>
          <w:rFonts w:ascii="Times New Roman" w:hAnsi="Times New Roman" w:cs="Times New Roman"/>
          <w:szCs w:val="21"/>
        </w:rPr>
        <w:t>3</w:t>
      </w:r>
      <w:r w:rsidRPr="00F817C5">
        <w:rPr>
          <w:rFonts w:ascii="Times New Roman" w:hAnsi="Times New Roman" w:cs="Times New Roman"/>
          <w:szCs w:val="21"/>
        </w:rPr>
        <w:t>国とも積極的な</w:t>
      </w:r>
      <w:r w:rsidRPr="00F817C5">
        <w:rPr>
          <w:rFonts w:ascii="Times New Roman" w:hAnsi="Times New Roman" w:cs="Times New Roman"/>
          <w:szCs w:val="21"/>
        </w:rPr>
        <w:t>FDI</w:t>
      </w:r>
      <w:r w:rsidRPr="00F817C5">
        <w:rPr>
          <w:rFonts w:ascii="Times New Roman" w:hAnsi="Times New Roman" w:cs="Times New Roman"/>
          <w:szCs w:val="21"/>
        </w:rPr>
        <w:t>誘致策（法人税率の引き下げ、等）をとってきた。</w:t>
      </w:r>
      <w:r w:rsidRPr="00F817C5">
        <w:rPr>
          <w:rFonts w:ascii="Times New Roman" w:hAnsi="Times New Roman" w:cs="Times New Roman"/>
          <w:szCs w:val="21"/>
        </w:rPr>
        <w:t>21</w:t>
      </w:r>
      <w:r w:rsidRPr="00F817C5">
        <w:rPr>
          <w:rFonts w:ascii="Times New Roman" w:hAnsi="Times New Roman" w:cs="Times New Roman"/>
          <w:szCs w:val="21"/>
        </w:rPr>
        <w:t>世紀に入っていったん落ち込んだものの、</w:t>
      </w:r>
      <w:r w:rsidRPr="00F817C5">
        <w:rPr>
          <w:rFonts w:ascii="Times New Roman" w:hAnsi="Times New Roman" w:cs="Times New Roman"/>
          <w:szCs w:val="21"/>
        </w:rPr>
        <w:t>2004</w:t>
      </w:r>
      <w:r w:rsidRPr="00F817C5">
        <w:rPr>
          <w:rFonts w:ascii="Times New Roman" w:hAnsi="Times New Roman" w:cs="Times New Roman"/>
          <w:szCs w:val="21"/>
        </w:rPr>
        <w:t>年の</w:t>
      </w:r>
      <w:r w:rsidRPr="00F817C5">
        <w:rPr>
          <w:rFonts w:ascii="Times New Roman" w:hAnsi="Times New Roman" w:cs="Times New Roman"/>
          <w:szCs w:val="21"/>
        </w:rPr>
        <w:t>EU</w:t>
      </w:r>
      <w:r w:rsidRPr="00F817C5">
        <w:rPr>
          <w:rFonts w:ascii="Times New Roman" w:hAnsi="Times New Roman" w:cs="Times New Roman"/>
          <w:szCs w:val="21"/>
        </w:rPr>
        <w:t>加盟頃から</w:t>
      </w:r>
      <w:r w:rsidRPr="00F817C5">
        <w:rPr>
          <w:rFonts w:ascii="Times New Roman" w:hAnsi="Times New Roman" w:cs="Times New Roman"/>
          <w:szCs w:val="21"/>
        </w:rPr>
        <w:t>FDI</w:t>
      </w:r>
      <w:r w:rsidRPr="00F817C5">
        <w:rPr>
          <w:rFonts w:ascii="Times New Roman" w:hAnsi="Times New Roman" w:cs="Times New Roman"/>
          <w:szCs w:val="21"/>
        </w:rPr>
        <w:t>流入は再び増加した。エストニアでは</w:t>
      </w:r>
      <w:r w:rsidRPr="00F817C5">
        <w:rPr>
          <w:rFonts w:ascii="Times New Roman" w:hAnsi="Times New Roman" w:cs="Times New Roman"/>
          <w:szCs w:val="21"/>
        </w:rPr>
        <w:t>FDI</w:t>
      </w:r>
      <w:r w:rsidRPr="00F817C5">
        <w:rPr>
          <w:rFonts w:ascii="Times New Roman" w:hAnsi="Times New Roman" w:cs="Times New Roman"/>
          <w:szCs w:val="21"/>
        </w:rPr>
        <w:t>流入額の対</w:t>
      </w:r>
      <w:r w:rsidRPr="00F817C5">
        <w:rPr>
          <w:rFonts w:ascii="Times New Roman" w:hAnsi="Times New Roman" w:cs="Times New Roman"/>
          <w:szCs w:val="21"/>
        </w:rPr>
        <w:t>GDP</w:t>
      </w:r>
      <w:r w:rsidRPr="00F817C5">
        <w:rPr>
          <w:rFonts w:ascii="Times New Roman" w:hAnsi="Times New Roman" w:cs="Times New Roman"/>
          <w:szCs w:val="21"/>
        </w:rPr>
        <w:t>比は</w:t>
      </w:r>
      <w:r w:rsidRPr="00F817C5">
        <w:rPr>
          <w:rFonts w:ascii="Times New Roman" w:hAnsi="Times New Roman" w:cs="Times New Roman"/>
          <w:szCs w:val="21"/>
        </w:rPr>
        <w:t>2005</w:t>
      </w:r>
      <w:r w:rsidRPr="00F817C5">
        <w:rPr>
          <w:rFonts w:ascii="Times New Roman" w:hAnsi="Times New Roman" w:cs="Times New Roman"/>
          <w:szCs w:val="21"/>
        </w:rPr>
        <w:t>年には何と</w:t>
      </w:r>
      <w:r w:rsidRPr="00F817C5">
        <w:rPr>
          <w:rFonts w:ascii="Times New Roman" w:hAnsi="Times New Roman" w:cs="Times New Roman"/>
          <w:szCs w:val="21"/>
        </w:rPr>
        <w:t>20.5%</w:t>
      </w:r>
      <w:r w:rsidRPr="00F817C5">
        <w:rPr>
          <w:rFonts w:ascii="Times New Roman" w:hAnsi="Times New Roman" w:cs="Times New Roman"/>
          <w:szCs w:val="21"/>
        </w:rPr>
        <w:t>に達し、</w:t>
      </w:r>
      <w:r w:rsidRPr="00F817C5">
        <w:rPr>
          <w:rFonts w:ascii="Times New Roman" w:hAnsi="Times New Roman" w:cs="Times New Roman"/>
          <w:szCs w:val="21"/>
        </w:rPr>
        <w:t>2007</w:t>
      </w:r>
      <w:r w:rsidRPr="00F817C5">
        <w:rPr>
          <w:rFonts w:ascii="Times New Roman" w:hAnsi="Times New Roman" w:cs="Times New Roman"/>
          <w:szCs w:val="21"/>
        </w:rPr>
        <w:t>年まで</w:t>
      </w:r>
      <w:r w:rsidRPr="00F817C5">
        <w:rPr>
          <w:rFonts w:ascii="Times New Roman" w:hAnsi="Times New Roman" w:cs="Times New Roman"/>
          <w:szCs w:val="21"/>
        </w:rPr>
        <w:t>2</w:t>
      </w:r>
      <w:r w:rsidRPr="00F817C5">
        <w:rPr>
          <w:rFonts w:ascii="Times New Roman" w:hAnsi="Times New Roman" w:cs="Times New Roman"/>
          <w:szCs w:val="21"/>
        </w:rPr>
        <w:t>桁を記録した。ラト</w:t>
      </w:r>
      <w:r w:rsidR="009D505B">
        <w:rPr>
          <w:rFonts w:ascii="Times New Roman" w:hAnsi="Times New Roman" w:cs="Times New Roman" w:hint="eastAsia"/>
          <w:szCs w:val="21"/>
        </w:rPr>
        <w:t>ヴィ</w:t>
      </w:r>
      <w:r w:rsidRPr="00F817C5">
        <w:rPr>
          <w:rFonts w:ascii="Times New Roman" w:hAnsi="Times New Roman" w:cs="Times New Roman"/>
          <w:szCs w:val="21"/>
        </w:rPr>
        <w:t>アとリトアニアはエストニアほどではないが、いずれも巨額の</w:t>
      </w:r>
      <w:r w:rsidRPr="00F817C5">
        <w:rPr>
          <w:rFonts w:ascii="Times New Roman" w:hAnsi="Times New Roman" w:cs="Times New Roman"/>
          <w:szCs w:val="21"/>
        </w:rPr>
        <w:t>FDI</w:t>
      </w:r>
      <w:r w:rsidRPr="00F817C5">
        <w:rPr>
          <w:rFonts w:ascii="Times New Roman" w:hAnsi="Times New Roman" w:cs="Times New Roman"/>
          <w:szCs w:val="21"/>
        </w:rPr>
        <w:t>を誘致してきた。</w:t>
      </w:r>
      <w:r w:rsidR="00AE3373" w:rsidRPr="00F817C5">
        <w:rPr>
          <w:rFonts w:ascii="Times New Roman" w:hAnsi="Times New Roman" w:cs="Times New Roman"/>
        </w:rPr>
        <w:t>2006</w:t>
      </w:r>
      <w:r w:rsidR="00AE3373" w:rsidRPr="00F817C5">
        <w:rPr>
          <w:rFonts w:ascii="Times New Roman" w:hAnsi="Times New Roman" w:cs="Times New Roman"/>
        </w:rPr>
        <w:t>年までに</w:t>
      </w:r>
      <w:r w:rsidR="00AE3373" w:rsidRPr="00F817C5">
        <w:rPr>
          <w:rFonts w:ascii="Times New Roman" w:hAnsi="Times New Roman" w:cs="Times New Roman"/>
        </w:rPr>
        <w:t>EU-15</w:t>
      </w:r>
      <w:r w:rsidR="00AE3373" w:rsidRPr="00F817C5">
        <w:rPr>
          <w:rFonts w:ascii="Times New Roman" w:hAnsi="Times New Roman" w:cs="Times New Roman"/>
        </w:rPr>
        <w:t>（</w:t>
      </w:r>
      <w:r w:rsidR="00AE3373" w:rsidRPr="00F817C5">
        <w:rPr>
          <w:rFonts w:ascii="Times New Roman" w:hAnsi="Times New Roman" w:cs="Times New Roman"/>
        </w:rPr>
        <w:t>2004</w:t>
      </w:r>
      <w:r w:rsidR="00AE3373" w:rsidRPr="00F817C5">
        <w:rPr>
          <w:rFonts w:ascii="Times New Roman" w:hAnsi="Times New Roman" w:cs="Times New Roman"/>
        </w:rPr>
        <w:t>年以前にすでに</w:t>
      </w:r>
      <w:r w:rsidR="00AE3373" w:rsidRPr="00F817C5">
        <w:rPr>
          <w:rFonts w:ascii="Times New Roman" w:hAnsi="Times New Roman" w:cs="Times New Roman"/>
        </w:rPr>
        <w:t>EU</w:t>
      </w:r>
      <w:r w:rsidR="00AE3373" w:rsidRPr="00F817C5">
        <w:rPr>
          <w:rFonts w:ascii="Times New Roman" w:hAnsi="Times New Roman" w:cs="Times New Roman"/>
        </w:rPr>
        <w:t>に加盟していた</w:t>
      </w:r>
      <w:r w:rsidR="00AE3373" w:rsidRPr="00F817C5">
        <w:rPr>
          <w:rFonts w:ascii="Times New Roman" w:hAnsi="Times New Roman" w:cs="Times New Roman"/>
        </w:rPr>
        <w:t>EU</w:t>
      </w:r>
      <w:r w:rsidR="00AE3373" w:rsidRPr="00F817C5">
        <w:rPr>
          <w:rFonts w:ascii="Times New Roman" w:hAnsi="Times New Roman" w:cs="Times New Roman"/>
        </w:rPr>
        <w:t>コア諸国）に対して、購買力平価で見た１人当たりの所得は</w:t>
      </w:r>
      <w:r w:rsidR="00F817C5">
        <w:rPr>
          <w:rFonts w:ascii="Times New Roman" w:hAnsi="Times New Roman" w:cs="Times New Roman" w:hint="eastAsia"/>
        </w:rPr>
        <w:t>16</w:t>
      </w:r>
      <w:r w:rsidR="00AE3373" w:rsidRPr="00F817C5">
        <w:rPr>
          <w:rFonts w:ascii="Times New Roman" w:hAnsi="Times New Roman" w:cs="Times New Roman"/>
        </w:rPr>
        <w:t>ポイントも上昇し、所得面で急速な収斂を実現した。表面上うまくいっているように見えたが、インフレ率の上昇、賃金の上昇、経常収支赤字の拡大に見られるように、</w:t>
      </w:r>
      <w:r w:rsidR="00AE3373" w:rsidRPr="00F817C5">
        <w:rPr>
          <w:rFonts w:ascii="Times New Roman" w:hAnsi="Times New Roman" w:cs="Times New Roman"/>
        </w:rPr>
        <w:t>2005</w:t>
      </w:r>
      <w:r w:rsidR="00AE3373" w:rsidRPr="00F817C5">
        <w:rPr>
          <w:rFonts w:ascii="Times New Roman" w:hAnsi="Times New Roman" w:cs="Times New Roman"/>
        </w:rPr>
        <w:t>年頃には経済は過熱の兆候を見せていた</w:t>
      </w:r>
      <w:r w:rsidR="00607B8C">
        <w:rPr>
          <w:rStyle w:val="ae"/>
          <w:rFonts w:ascii="Times New Roman" w:hAnsi="Times New Roman" w:cs="Times New Roman"/>
        </w:rPr>
        <w:footnoteReference w:id="4"/>
      </w:r>
      <w:r w:rsidR="00AE3373" w:rsidRPr="00F817C5">
        <w:rPr>
          <w:rFonts w:ascii="Times New Roman" w:hAnsi="Times New Roman" w:cs="Times New Roman"/>
        </w:rPr>
        <w:t>。</w:t>
      </w:r>
    </w:p>
    <w:p w:rsidR="00C27066" w:rsidRDefault="00C27066">
      <w:pPr>
        <w:rPr>
          <w:rFonts w:ascii="Times New Roman" w:hAnsi="Times New Roman" w:cs="Times New Roman"/>
        </w:rPr>
      </w:pPr>
    </w:p>
    <w:p w:rsidR="00C27066" w:rsidRPr="00DF3889" w:rsidRDefault="00C27066" w:rsidP="00C27066">
      <w:pPr>
        <w:rPr>
          <w:rFonts w:ascii="Times New Roman" w:hAnsi="Times New Roman" w:cs="Times New Roman"/>
          <w:b/>
        </w:rPr>
      </w:pPr>
      <w:r w:rsidRPr="00DF3889">
        <w:rPr>
          <w:rFonts w:ascii="Times New Roman" w:hAnsi="Times New Roman" w:cs="Times New Roman"/>
          <w:b/>
        </w:rPr>
        <w:t>経済過熱の構図</w:t>
      </w:r>
    </w:p>
    <w:p w:rsidR="00C27066" w:rsidRPr="00F817C5" w:rsidRDefault="00C27066" w:rsidP="00E1323D">
      <w:pPr>
        <w:ind w:firstLineChars="100" w:firstLine="210"/>
        <w:rPr>
          <w:rFonts w:ascii="Times New Roman" w:hAnsi="Times New Roman" w:cs="Times New Roman"/>
        </w:rPr>
      </w:pPr>
      <w:r w:rsidRPr="00081DBD">
        <w:rPr>
          <w:rFonts w:hint="eastAsia"/>
          <w:szCs w:val="21"/>
        </w:rPr>
        <w:t>ラト</w:t>
      </w:r>
      <w:r w:rsidR="009D505B">
        <w:rPr>
          <w:rFonts w:hint="eastAsia"/>
          <w:szCs w:val="21"/>
        </w:rPr>
        <w:t>ヴィ</w:t>
      </w:r>
      <w:r w:rsidRPr="00081DBD">
        <w:rPr>
          <w:rFonts w:hint="eastAsia"/>
          <w:szCs w:val="21"/>
        </w:rPr>
        <w:t>ア経済の過熱の構図（図</w:t>
      </w:r>
      <w:r w:rsidRPr="00081DBD">
        <w:rPr>
          <w:rFonts w:hint="eastAsia"/>
          <w:szCs w:val="21"/>
        </w:rPr>
        <w:t>3</w:t>
      </w:r>
      <w:r w:rsidRPr="00081DBD">
        <w:rPr>
          <w:rFonts w:hint="eastAsia"/>
          <w:szCs w:val="21"/>
        </w:rPr>
        <w:t>）は次のように説明できる。</w:t>
      </w:r>
      <w:r w:rsidRPr="00081DBD">
        <w:rPr>
          <w:rFonts w:hint="eastAsia"/>
          <w:szCs w:val="21"/>
        </w:rPr>
        <w:t>90</w:t>
      </w:r>
      <w:r w:rsidRPr="00081DBD">
        <w:rPr>
          <w:rFonts w:hint="eastAsia"/>
          <w:szCs w:val="21"/>
        </w:rPr>
        <w:t>年代半ば以降、外国資本がラト</w:t>
      </w:r>
      <w:r w:rsidR="009D505B">
        <w:rPr>
          <w:rFonts w:hint="eastAsia"/>
          <w:szCs w:val="21"/>
        </w:rPr>
        <w:t>ヴィ</w:t>
      </w:r>
      <w:r w:rsidRPr="00081DBD">
        <w:rPr>
          <w:rFonts w:hint="eastAsia"/>
          <w:szCs w:val="21"/>
        </w:rPr>
        <w:t>ア経済に流入し、これが経済発展に大いに寄与した。対内</w:t>
      </w:r>
      <w:r w:rsidRPr="00081DBD">
        <w:rPr>
          <w:rFonts w:hint="eastAsia"/>
          <w:szCs w:val="21"/>
        </w:rPr>
        <w:t>FDI</w:t>
      </w:r>
      <w:r w:rsidRPr="00081DBD">
        <w:rPr>
          <w:rFonts w:hint="eastAsia"/>
          <w:szCs w:val="21"/>
        </w:rPr>
        <w:t>ストックは</w:t>
      </w:r>
      <w:r w:rsidRPr="00081DBD">
        <w:rPr>
          <w:rFonts w:hint="eastAsia"/>
          <w:szCs w:val="21"/>
        </w:rPr>
        <w:t>2007</w:t>
      </w:r>
      <w:r w:rsidRPr="00081DBD">
        <w:rPr>
          <w:rFonts w:hint="eastAsia"/>
          <w:szCs w:val="21"/>
        </w:rPr>
        <w:t>年の時点で、</w:t>
      </w:r>
      <w:r w:rsidRPr="00081DBD">
        <w:rPr>
          <w:rFonts w:hint="eastAsia"/>
          <w:szCs w:val="21"/>
        </w:rPr>
        <w:t>72</w:t>
      </w:r>
      <w:r w:rsidRPr="00081DBD">
        <w:rPr>
          <w:rFonts w:hint="eastAsia"/>
          <w:szCs w:val="21"/>
        </w:rPr>
        <w:t>億</w:t>
      </w:r>
      <w:r w:rsidRPr="00081DBD">
        <w:rPr>
          <w:rFonts w:hint="eastAsia"/>
          <w:szCs w:val="21"/>
        </w:rPr>
        <w:t>2610</w:t>
      </w:r>
      <w:r w:rsidRPr="00081DBD">
        <w:rPr>
          <w:rFonts w:hint="eastAsia"/>
          <w:szCs w:val="21"/>
        </w:rPr>
        <w:t>万ユーロにのぼった。分野別の内訳を見ると、金融仲介が最も大きな割合（</w:t>
      </w:r>
      <w:r w:rsidRPr="00081DBD">
        <w:rPr>
          <w:rFonts w:hint="eastAsia"/>
          <w:szCs w:val="21"/>
        </w:rPr>
        <w:t>28.3%</w:t>
      </w:r>
      <w:r w:rsidRPr="00081DBD">
        <w:rPr>
          <w:rFonts w:hint="eastAsia"/>
          <w:szCs w:val="21"/>
        </w:rPr>
        <w:t>）を占め、ついで不動産・ビジネス活動（</w:t>
      </w:r>
      <w:r w:rsidRPr="00081DBD">
        <w:rPr>
          <w:rFonts w:hint="eastAsia"/>
          <w:szCs w:val="21"/>
        </w:rPr>
        <w:t>18.3%</w:t>
      </w:r>
      <w:r w:rsidRPr="00081DBD">
        <w:rPr>
          <w:rFonts w:hint="eastAsia"/>
          <w:szCs w:val="21"/>
        </w:rPr>
        <w:t>）、分類不能（</w:t>
      </w:r>
      <w:r w:rsidRPr="00081DBD">
        <w:rPr>
          <w:rFonts w:hint="eastAsia"/>
          <w:szCs w:val="21"/>
        </w:rPr>
        <w:t>13.1%</w:t>
      </w:r>
      <w:r w:rsidRPr="00081DBD">
        <w:rPr>
          <w:rFonts w:hint="eastAsia"/>
          <w:szCs w:val="21"/>
        </w:rPr>
        <w:t>）、商業・自動車修理（</w:t>
      </w:r>
      <w:r w:rsidRPr="00081DBD">
        <w:rPr>
          <w:rFonts w:hint="eastAsia"/>
          <w:szCs w:val="21"/>
        </w:rPr>
        <w:t>12.4%</w:t>
      </w:r>
      <w:r w:rsidRPr="00081DBD">
        <w:rPr>
          <w:rFonts w:hint="eastAsia"/>
          <w:szCs w:val="21"/>
        </w:rPr>
        <w:t>）、製造業（</w:t>
      </w:r>
      <w:r w:rsidRPr="00081DBD">
        <w:rPr>
          <w:rFonts w:hint="eastAsia"/>
          <w:szCs w:val="21"/>
        </w:rPr>
        <w:t>8.8%</w:t>
      </w:r>
      <w:r w:rsidRPr="00081DBD">
        <w:rPr>
          <w:rFonts w:hint="eastAsia"/>
          <w:szCs w:val="21"/>
        </w:rPr>
        <w:t>）、運輸・保管・通信（</w:t>
      </w:r>
      <w:r w:rsidRPr="00081DBD">
        <w:rPr>
          <w:rFonts w:hint="eastAsia"/>
          <w:szCs w:val="21"/>
        </w:rPr>
        <w:t>7.9%</w:t>
      </w:r>
      <w:r w:rsidRPr="00081DBD">
        <w:rPr>
          <w:rFonts w:hint="eastAsia"/>
          <w:szCs w:val="21"/>
        </w:rPr>
        <w:t>）、電気・ガス・水道（</w:t>
      </w:r>
      <w:r w:rsidRPr="00081DBD">
        <w:rPr>
          <w:rFonts w:hint="eastAsia"/>
          <w:szCs w:val="21"/>
        </w:rPr>
        <w:t>5.3%</w:t>
      </w:r>
      <w:r w:rsidRPr="00081DBD">
        <w:rPr>
          <w:rFonts w:hint="eastAsia"/>
          <w:szCs w:val="21"/>
        </w:rPr>
        <w:t>）が続く。このように製造業の割合は非常に小さい（</w:t>
      </w:r>
      <w:proofErr w:type="spellStart"/>
      <w:r w:rsidRPr="00081DBD">
        <w:rPr>
          <w:rFonts w:hint="eastAsia"/>
          <w:szCs w:val="21"/>
        </w:rPr>
        <w:t>Hunya</w:t>
      </w:r>
      <w:proofErr w:type="spellEnd"/>
      <w:r w:rsidRPr="00081DBD">
        <w:rPr>
          <w:rFonts w:hint="eastAsia"/>
          <w:szCs w:val="21"/>
        </w:rPr>
        <w:t>, 2008, pp. 85-87</w:t>
      </w:r>
      <w:r w:rsidRPr="00081DBD">
        <w:rPr>
          <w:rFonts w:hint="eastAsia"/>
          <w:szCs w:val="21"/>
        </w:rPr>
        <w:t>）。</w:t>
      </w:r>
      <w:r w:rsidRPr="00081DBD">
        <w:rPr>
          <w:rFonts w:hint="eastAsia"/>
          <w:szCs w:val="21"/>
        </w:rPr>
        <w:lastRenderedPageBreak/>
        <w:t>FDI</w:t>
      </w:r>
      <w:r w:rsidRPr="00081DBD">
        <w:rPr>
          <w:rFonts w:hint="eastAsia"/>
          <w:szCs w:val="21"/>
        </w:rPr>
        <w:t>は近年主として小売り商業、不動産、金融サービスのような非貿易財セクターに流入した。</w:t>
      </w:r>
    </w:p>
    <w:p w:rsidR="00394B44" w:rsidRPr="003D2124" w:rsidRDefault="000304C3" w:rsidP="00394B44">
      <w:pPr>
        <w:rPr>
          <w:rFonts w:ascii="Times New Roman" w:hAnsi="Times New Roman" w:cs="Times New Roman"/>
        </w:rPr>
      </w:pPr>
      <w:r w:rsidRPr="003D2124">
        <w:rPr>
          <w:rFonts w:ascii="Times New Roman" w:hAnsi="Times New Roman" w:cs="Times New Roman"/>
        </w:rPr>
        <w:object w:dxaOrig="7191"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327.75pt" o:ole="">
            <v:imagedata r:id="rId9" o:title=""/>
          </v:shape>
          <o:OLEObject Type="Embed" ProgID="PowerPoint.Slide.12" ShapeID="_x0000_i1025" DrawAspect="Content" ObjectID="_1480151396" r:id="rId10"/>
        </w:object>
      </w:r>
    </w:p>
    <w:tbl>
      <w:tblPr>
        <w:tblW w:w="9087" w:type="dxa"/>
        <w:tblInd w:w="84" w:type="dxa"/>
        <w:tblCellMar>
          <w:left w:w="99" w:type="dxa"/>
          <w:right w:w="99" w:type="dxa"/>
        </w:tblCellMar>
        <w:tblLook w:val="04A0" w:firstRow="1" w:lastRow="0" w:firstColumn="1" w:lastColumn="0" w:noHBand="0" w:noVBand="1"/>
      </w:tblPr>
      <w:tblGrid>
        <w:gridCol w:w="2740"/>
        <w:gridCol w:w="677"/>
        <w:gridCol w:w="709"/>
        <w:gridCol w:w="709"/>
        <w:gridCol w:w="709"/>
        <w:gridCol w:w="708"/>
        <w:gridCol w:w="709"/>
        <w:gridCol w:w="709"/>
        <w:gridCol w:w="709"/>
        <w:gridCol w:w="708"/>
      </w:tblGrid>
      <w:tr w:rsidR="00394B44" w:rsidRPr="00394B44" w:rsidTr="00EF6FED">
        <w:trPr>
          <w:trHeight w:val="315"/>
        </w:trPr>
        <w:tc>
          <w:tcPr>
            <w:tcW w:w="5544" w:type="dxa"/>
            <w:gridSpan w:val="5"/>
            <w:tcBorders>
              <w:top w:val="nil"/>
              <w:left w:val="nil"/>
              <w:bottom w:val="single" w:sz="4" w:space="0" w:color="auto"/>
              <w:right w:val="nil"/>
            </w:tcBorders>
            <w:shd w:val="clear" w:color="auto" w:fill="auto"/>
            <w:noWrap/>
            <w:vAlign w:val="center"/>
          </w:tcPr>
          <w:p w:rsidR="00394B44" w:rsidRPr="00607B8C" w:rsidRDefault="005771ED" w:rsidP="00394B44">
            <w:pPr>
              <w:widowControl/>
              <w:spacing w:after="0"/>
              <w:jc w:val="left"/>
              <w:rPr>
                <w:rFonts w:asciiTheme="minorEastAsia" w:hAnsiTheme="minorEastAsia" w:cs="Times New Roman"/>
                <w:b/>
                <w:bCs/>
                <w:kern w:val="0"/>
                <w:szCs w:val="21"/>
              </w:rPr>
            </w:pPr>
            <w:r w:rsidRPr="00607B8C">
              <w:rPr>
                <w:rFonts w:asciiTheme="minorEastAsia" w:hAnsiTheme="minorEastAsia" w:cs="Times New Roman" w:hint="eastAsia"/>
                <w:b/>
                <w:bCs/>
                <w:kern w:val="0"/>
                <w:szCs w:val="21"/>
              </w:rPr>
              <w:t>表</w:t>
            </w:r>
            <w:r w:rsidR="009D505B">
              <w:rPr>
                <w:rFonts w:asciiTheme="minorEastAsia" w:hAnsiTheme="minorEastAsia" w:cs="Times New Roman" w:hint="eastAsia"/>
                <w:b/>
                <w:bCs/>
                <w:kern w:val="0"/>
                <w:szCs w:val="21"/>
              </w:rPr>
              <w:t>1</w:t>
            </w:r>
            <w:r w:rsidRPr="00607B8C">
              <w:rPr>
                <w:rFonts w:asciiTheme="minorEastAsia" w:hAnsiTheme="minorEastAsia" w:cs="Times New Roman" w:hint="eastAsia"/>
                <w:b/>
                <w:bCs/>
                <w:kern w:val="0"/>
                <w:szCs w:val="21"/>
              </w:rPr>
              <w:t xml:space="preserve">　ラトヴィアの主要経済指標</w:t>
            </w:r>
          </w:p>
        </w:tc>
        <w:tc>
          <w:tcPr>
            <w:tcW w:w="708" w:type="dxa"/>
            <w:tcBorders>
              <w:top w:val="nil"/>
              <w:left w:val="nil"/>
              <w:bottom w:val="single" w:sz="4" w:space="0" w:color="auto"/>
              <w:right w:val="nil"/>
            </w:tcBorders>
            <w:shd w:val="clear" w:color="auto" w:fill="auto"/>
            <w:noWrap/>
            <w:vAlign w:val="center"/>
            <w:hideMark/>
          </w:tcPr>
          <w:p w:rsidR="00394B44" w:rsidRPr="00394B44" w:rsidRDefault="00394B44" w:rsidP="00394B44">
            <w:pPr>
              <w:widowControl/>
              <w:spacing w:after="0"/>
              <w:jc w:val="left"/>
              <w:rPr>
                <w:rFonts w:ascii="Times New Roman" w:eastAsia="ＭＳ Ｐゴシック" w:hAnsi="Times New Roman" w:cs="Times New Roman"/>
                <w:kern w:val="0"/>
                <w:sz w:val="24"/>
                <w:szCs w:val="24"/>
              </w:rPr>
            </w:pPr>
            <w:r w:rsidRPr="00394B44">
              <w:rPr>
                <w:rFonts w:ascii="Times New Roman" w:eastAsia="ＭＳ Ｐゴシック" w:hAnsi="Times New Roman" w:cs="Times New Roman"/>
                <w:kern w:val="0"/>
                <w:sz w:val="24"/>
                <w:szCs w:val="24"/>
              </w:rPr>
              <w:t xml:space="preserve">　</w:t>
            </w:r>
          </w:p>
        </w:tc>
        <w:tc>
          <w:tcPr>
            <w:tcW w:w="709" w:type="dxa"/>
            <w:tcBorders>
              <w:top w:val="nil"/>
              <w:left w:val="nil"/>
              <w:bottom w:val="single" w:sz="4" w:space="0" w:color="auto"/>
              <w:right w:val="nil"/>
            </w:tcBorders>
            <w:shd w:val="clear" w:color="auto" w:fill="auto"/>
            <w:noWrap/>
            <w:vAlign w:val="center"/>
            <w:hideMark/>
          </w:tcPr>
          <w:p w:rsidR="00394B44" w:rsidRPr="00394B44" w:rsidRDefault="00394B44" w:rsidP="00394B44">
            <w:pPr>
              <w:widowControl/>
              <w:spacing w:after="0"/>
              <w:jc w:val="left"/>
              <w:rPr>
                <w:rFonts w:ascii="Times New Roman" w:eastAsia="ＭＳ Ｐゴシック" w:hAnsi="Times New Roman" w:cs="Times New Roman"/>
                <w:kern w:val="0"/>
                <w:sz w:val="24"/>
                <w:szCs w:val="24"/>
              </w:rPr>
            </w:pPr>
            <w:r w:rsidRPr="00394B44">
              <w:rPr>
                <w:rFonts w:ascii="Times New Roman" w:eastAsia="ＭＳ Ｐゴシック" w:hAnsi="Times New Roman" w:cs="Times New Roman"/>
                <w:kern w:val="0"/>
                <w:sz w:val="24"/>
                <w:szCs w:val="24"/>
              </w:rPr>
              <w:t xml:space="preserve">　</w:t>
            </w:r>
          </w:p>
        </w:tc>
        <w:tc>
          <w:tcPr>
            <w:tcW w:w="709" w:type="dxa"/>
            <w:tcBorders>
              <w:top w:val="nil"/>
              <w:left w:val="nil"/>
              <w:bottom w:val="single" w:sz="4" w:space="0" w:color="auto"/>
              <w:right w:val="nil"/>
            </w:tcBorders>
            <w:shd w:val="clear" w:color="auto" w:fill="auto"/>
            <w:noWrap/>
            <w:vAlign w:val="center"/>
            <w:hideMark/>
          </w:tcPr>
          <w:p w:rsidR="00394B44" w:rsidRPr="00394B44" w:rsidRDefault="00394B44" w:rsidP="00394B44">
            <w:pPr>
              <w:widowControl/>
              <w:spacing w:after="0"/>
              <w:jc w:val="left"/>
              <w:rPr>
                <w:rFonts w:ascii="Times New Roman" w:eastAsia="ＭＳ Ｐゴシック" w:hAnsi="Times New Roman" w:cs="Times New Roman"/>
                <w:kern w:val="0"/>
                <w:sz w:val="24"/>
                <w:szCs w:val="24"/>
              </w:rPr>
            </w:pPr>
            <w:r w:rsidRPr="00394B44">
              <w:rPr>
                <w:rFonts w:ascii="Times New Roman" w:eastAsia="ＭＳ Ｐゴシック" w:hAnsi="Times New Roman" w:cs="Times New Roman"/>
                <w:kern w:val="0"/>
                <w:sz w:val="24"/>
                <w:szCs w:val="24"/>
              </w:rPr>
              <w:t xml:space="preserve">　</w:t>
            </w:r>
          </w:p>
        </w:tc>
        <w:tc>
          <w:tcPr>
            <w:tcW w:w="709" w:type="dxa"/>
            <w:tcBorders>
              <w:top w:val="nil"/>
              <w:left w:val="nil"/>
              <w:bottom w:val="single" w:sz="4" w:space="0" w:color="auto"/>
              <w:right w:val="nil"/>
            </w:tcBorders>
            <w:shd w:val="clear" w:color="auto" w:fill="auto"/>
            <w:noWrap/>
            <w:vAlign w:val="center"/>
            <w:hideMark/>
          </w:tcPr>
          <w:p w:rsidR="00394B44" w:rsidRPr="00394B44" w:rsidRDefault="00394B44" w:rsidP="00394B44">
            <w:pPr>
              <w:widowControl/>
              <w:spacing w:after="0"/>
              <w:jc w:val="left"/>
              <w:rPr>
                <w:rFonts w:ascii="Times New Roman" w:eastAsia="ＭＳ Ｐゴシック" w:hAnsi="Times New Roman" w:cs="Times New Roman"/>
                <w:kern w:val="0"/>
                <w:sz w:val="24"/>
                <w:szCs w:val="24"/>
              </w:rPr>
            </w:pPr>
            <w:r w:rsidRPr="00394B44">
              <w:rPr>
                <w:rFonts w:ascii="Times New Roman" w:eastAsia="ＭＳ Ｐゴシック" w:hAnsi="Times New Roman" w:cs="Times New Roman"/>
                <w:kern w:val="0"/>
                <w:sz w:val="24"/>
                <w:szCs w:val="24"/>
              </w:rPr>
              <w:t xml:space="preserve">　</w:t>
            </w:r>
          </w:p>
        </w:tc>
        <w:tc>
          <w:tcPr>
            <w:tcW w:w="708" w:type="dxa"/>
            <w:tcBorders>
              <w:top w:val="nil"/>
              <w:left w:val="nil"/>
              <w:bottom w:val="single" w:sz="4" w:space="0" w:color="auto"/>
              <w:right w:val="nil"/>
            </w:tcBorders>
            <w:shd w:val="clear" w:color="auto" w:fill="auto"/>
            <w:noWrap/>
            <w:vAlign w:val="center"/>
            <w:hideMark/>
          </w:tcPr>
          <w:p w:rsidR="00394B44" w:rsidRPr="00394B44" w:rsidRDefault="00394B44" w:rsidP="00394B44">
            <w:pPr>
              <w:widowControl/>
              <w:spacing w:after="0"/>
              <w:jc w:val="left"/>
              <w:rPr>
                <w:rFonts w:ascii="Times New Roman" w:eastAsia="ＭＳ Ｐゴシック" w:hAnsi="Times New Roman" w:cs="Times New Roman"/>
                <w:kern w:val="0"/>
                <w:sz w:val="24"/>
                <w:szCs w:val="24"/>
              </w:rPr>
            </w:pPr>
            <w:r w:rsidRPr="00394B44">
              <w:rPr>
                <w:rFonts w:ascii="Times New Roman" w:eastAsia="ＭＳ Ｐゴシック" w:hAnsi="Times New Roman" w:cs="Times New Roman"/>
                <w:kern w:val="0"/>
                <w:sz w:val="24"/>
                <w:szCs w:val="24"/>
              </w:rPr>
              <w:t xml:space="preserve">　</w:t>
            </w:r>
          </w:p>
        </w:tc>
      </w:tr>
      <w:tr w:rsidR="00394B44" w:rsidRPr="00394B44" w:rsidTr="00EF6FED">
        <w:trPr>
          <w:trHeight w:val="345"/>
        </w:trPr>
        <w:tc>
          <w:tcPr>
            <w:tcW w:w="2740" w:type="dxa"/>
            <w:tcBorders>
              <w:top w:val="nil"/>
              <w:left w:val="nil"/>
              <w:bottom w:val="single" w:sz="4" w:space="0" w:color="auto"/>
              <w:right w:val="single" w:sz="4" w:space="0" w:color="auto"/>
            </w:tcBorders>
            <w:shd w:val="clear" w:color="auto" w:fill="auto"/>
            <w:hideMark/>
          </w:tcPr>
          <w:p w:rsidR="00394B44" w:rsidRPr="00394B44" w:rsidRDefault="00394B44" w:rsidP="00394B44">
            <w:pPr>
              <w:widowControl/>
              <w:spacing w:after="0"/>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　</w:t>
            </w:r>
          </w:p>
        </w:tc>
        <w:tc>
          <w:tcPr>
            <w:tcW w:w="677" w:type="dxa"/>
            <w:tcBorders>
              <w:top w:val="nil"/>
              <w:left w:val="nil"/>
              <w:bottom w:val="single" w:sz="4" w:space="0" w:color="auto"/>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2001</w:t>
            </w:r>
          </w:p>
        </w:tc>
        <w:tc>
          <w:tcPr>
            <w:tcW w:w="709" w:type="dxa"/>
            <w:tcBorders>
              <w:top w:val="nil"/>
              <w:left w:val="nil"/>
              <w:bottom w:val="single" w:sz="4" w:space="0" w:color="auto"/>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2002</w:t>
            </w:r>
          </w:p>
        </w:tc>
        <w:tc>
          <w:tcPr>
            <w:tcW w:w="709" w:type="dxa"/>
            <w:tcBorders>
              <w:top w:val="nil"/>
              <w:left w:val="nil"/>
              <w:bottom w:val="single" w:sz="4" w:space="0" w:color="auto"/>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2003</w:t>
            </w:r>
          </w:p>
        </w:tc>
        <w:tc>
          <w:tcPr>
            <w:tcW w:w="709" w:type="dxa"/>
            <w:tcBorders>
              <w:top w:val="nil"/>
              <w:left w:val="nil"/>
              <w:bottom w:val="single" w:sz="4" w:space="0" w:color="auto"/>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2004</w:t>
            </w:r>
          </w:p>
        </w:tc>
        <w:tc>
          <w:tcPr>
            <w:tcW w:w="708" w:type="dxa"/>
            <w:tcBorders>
              <w:top w:val="nil"/>
              <w:left w:val="nil"/>
              <w:bottom w:val="single" w:sz="4" w:space="0" w:color="auto"/>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2005</w:t>
            </w:r>
          </w:p>
        </w:tc>
        <w:tc>
          <w:tcPr>
            <w:tcW w:w="709" w:type="dxa"/>
            <w:tcBorders>
              <w:top w:val="nil"/>
              <w:left w:val="nil"/>
              <w:bottom w:val="single" w:sz="4" w:space="0" w:color="auto"/>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2006</w:t>
            </w:r>
          </w:p>
        </w:tc>
        <w:tc>
          <w:tcPr>
            <w:tcW w:w="709" w:type="dxa"/>
            <w:tcBorders>
              <w:top w:val="nil"/>
              <w:left w:val="nil"/>
              <w:bottom w:val="single" w:sz="4" w:space="0" w:color="auto"/>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2007</w:t>
            </w:r>
          </w:p>
        </w:tc>
        <w:tc>
          <w:tcPr>
            <w:tcW w:w="709" w:type="dxa"/>
            <w:tcBorders>
              <w:top w:val="nil"/>
              <w:left w:val="nil"/>
              <w:bottom w:val="single" w:sz="4" w:space="0" w:color="auto"/>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2008</w:t>
            </w:r>
          </w:p>
        </w:tc>
        <w:tc>
          <w:tcPr>
            <w:tcW w:w="708" w:type="dxa"/>
            <w:tcBorders>
              <w:top w:val="nil"/>
              <w:left w:val="nil"/>
              <w:bottom w:val="single" w:sz="4" w:space="0" w:color="auto"/>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2009*</w:t>
            </w:r>
          </w:p>
        </w:tc>
      </w:tr>
      <w:tr w:rsidR="00394B44" w:rsidRPr="00394B44" w:rsidTr="00EF6FED">
        <w:trPr>
          <w:trHeight w:val="360"/>
        </w:trPr>
        <w:tc>
          <w:tcPr>
            <w:tcW w:w="2740" w:type="dxa"/>
            <w:tcBorders>
              <w:top w:val="nil"/>
              <w:left w:val="nil"/>
              <w:bottom w:val="nil"/>
              <w:right w:val="single" w:sz="4" w:space="0" w:color="auto"/>
            </w:tcBorders>
            <w:shd w:val="clear" w:color="auto" w:fill="auto"/>
            <w:hideMark/>
          </w:tcPr>
          <w:p w:rsidR="00394B44" w:rsidRPr="00394B44" w:rsidRDefault="00394B44" w:rsidP="005771ED">
            <w:pPr>
              <w:widowControl/>
              <w:spacing w:after="0"/>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GDP</w:t>
            </w:r>
            <w:r w:rsidR="005771ED">
              <w:rPr>
                <w:rFonts w:ascii="Times New Roman" w:eastAsia="ＭＳ Ｐゴシック" w:hAnsi="Times New Roman" w:cs="Times New Roman" w:hint="eastAsia"/>
                <w:kern w:val="0"/>
                <w:sz w:val="16"/>
                <w:szCs w:val="16"/>
              </w:rPr>
              <w:t>成長率（前年比）</w:t>
            </w:r>
          </w:p>
        </w:tc>
        <w:tc>
          <w:tcPr>
            <w:tcW w:w="677"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8.0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6.5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7.2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8.5 </w:t>
            </w:r>
          </w:p>
        </w:tc>
        <w:tc>
          <w:tcPr>
            <w:tcW w:w="708"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10.6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12.2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10.3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-10.3 </w:t>
            </w:r>
          </w:p>
        </w:tc>
        <w:tc>
          <w:tcPr>
            <w:tcW w:w="708"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-17.7 </w:t>
            </w:r>
          </w:p>
        </w:tc>
      </w:tr>
      <w:tr w:rsidR="00394B44" w:rsidRPr="00394B44" w:rsidTr="00EF6FED">
        <w:trPr>
          <w:trHeight w:val="360"/>
        </w:trPr>
        <w:tc>
          <w:tcPr>
            <w:tcW w:w="2740" w:type="dxa"/>
            <w:tcBorders>
              <w:top w:val="nil"/>
              <w:left w:val="nil"/>
              <w:bottom w:val="nil"/>
              <w:right w:val="single" w:sz="4" w:space="0" w:color="auto"/>
            </w:tcBorders>
            <w:shd w:val="clear" w:color="auto" w:fill="auto"/>
            <w:hideMark/>
          </w:tcPr>
          <w:p w:rsidR="00394B44" w:rsidRPr="00394B44" w:rsidRDefault="005771ED" w:rsidP="00394B44">
            <w:pPr>
              <w:widowControl/>
              <w:spacing w:after="0"/>
              <w:rPr>
                <w:rFonts w:ascii="Times New Roman" w:eastAsia="ＭＳ Ｐゴシック" w:hAnsi="Times New Roman" w:cs="Times New Roman"/>
                <w:kern w:val="0"/>
                <w:sz w:val="16"/>
                <w:szCs w:val="16"/>
              </w:rPr>
            </w:pPr>
            <w:r>
              <w:rPr>
                <w:rFonts w:ascii="Times New Roman" w:eastAsia="ＭＳ Ｐゴシック" w:hAnsi="Times New Roman" w:cs="Times New Roman" w:hint="eastAsia"/>
                <w:kern w:val="0"/>
                <w:sz w:val="16"/>
                <w:szCs w:val="16"/>
              </w:rPr>
              <w:t>工業生産成長率（前年比）</w:t>
            </w:r>
          </w:p>
        </w:tc>
        <w:tc>
          <w:tcPr>
            <w:tcW w:w="677"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6.9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5.8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6.5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6.0 </w:t>
            </w:r>
          </w:p>
        </w:tc>
        <w:tc>
          <w:tcPr>
            <w:tcW w:w="708"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5.6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4.8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0.5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-6.7 </w:t>
            </w:r>
          </w:p>
        </w:tc>
        <w:tc>
          <w:tcPr>
            <w:tcW w:w="708"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-18.1 </w:t>
            </w:r>
          </w:p>
        </w:tc>
      </w:tr>
      <w:tr w:rsidR="00394B44" w:rsidRPr="00394B44" w:rsidTr="00EF6FED">
        <w:trPr>
          <w:trHeight w:val="360"/>
        </w:trPr>
        <w:tc>
          <w:tcPr>
            <w:tcW w:w="2740" w:type="dxa"/>
            <w:tcBorders>
              <w:top w:val="nil"/>
              <w:left w:val="nil"/>
              <w:bottom w:val="nil"/>
              <w:right w:val="single" w:sz="4" w:space="0" w:color="auto"/>
            </w:tcBorders>
            <w:shd w:val="clear" w:color="auto" w:fill="auto"/>
            <w:hideMark/>
          </w:tcPr>
          <w:p w:rsidR="00394B44" w:rsidRPr="00394B44" w:rsidRDefault="005771ED" w:rsidP="00394B44">
            <w:pPr>
              <w:widowControl/>
              <w:spacing w:after="0"/>
              <w:rPr>
                <w:rFonts w:ascii="Times New Roman" w:eastAsia="ＭＳ Ｐゴシック" w:hAnsi="Times New Roman" w:cs="Times New Roman"/>
                <w:kern w:val="0"/>
                <w:sz w:val="16"/>
                <w:szCs w:val="16"/>
              </w:rPr>
            </w:pPr>
            <w:r>
              <w:rPr>
                <w:rFonts w:ascii="Times New Roman" w:eastAsia="ＭＳ Ｐゴシック" w:hAnsi="Times New Roman" w:cs="Times New Roman" w:hint="eastAsia"/>
                <w:kern w:val="0"/>
                <w:sz w:val="16"/>
                <w:szCs w:val="16"/>
              </w:rPr>
              <w:t>インフレ率（消費者物価、期末）</w:t>
            </w:r>
          </w:p>
        </w:tc>
        <w:tc>
          <w:tcPr>
            <w:tcW w:w="677"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3.2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1.4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3.6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7.3 </w:t>
            </w:r>
          </w:p>
        </w:tc>
        <w:tc>
          <w:tcPr>
            <w:tcW w:w="708"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6.7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6.5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10.1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15.4 </w:t>
            </w:r>
          </w:p>
        </w:tc>
        <w:tc>
          <w:tcPr>
            <w:tcW w:w="708"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3.5 </w:t>
            </w:r>
          </w:p>
        </w:tc>
      </w:tr>
      <w:tr w:rsidR="00394B44" w:rsidRPr="00394B44" w:rsidTr="00EF6FED">
        <w:trPr>
          <w:trHeight w:val="360"/>
        </w:trPr>
        <w:tc>
          <w:tcPr>
            <w:tcW w:w="2740" w:type="dxa"/>
            <w:tcBorders>
              <w:top w:val="nil"/>
              <w:left w:val="nil"/>
              <w:bottom w:val="nil"/>
              <w:right w:val="single" w:sz="4" w:space="0" w:color="auto"/>
            </w:tcBorders>
            <w:shd w:val="clear" w:color="auto" w:fill="auto"/>
            <w:hideMark/>
          </w:tcPr>
          <w:p w:rsidR="00394B44" w:rsidRPr="00394B44" w:rsidRDefault="005771ED" w:rsidP="005771ED">
            <w:pPr>
              <w:widowControl/>
              <w:spacing w:after="0"/>
              <w:rPr>
                <w:rFonts w:ascii="Times New Roman" w:eastAsia="ＭＳ Ｐゴシック" w:hAnsi="Times New Roman" w:cs="Times New Roman"/>
                <w:kern w:val="0"/>
                <w:sz w:val="16"/>
                <w:szCs w:val="16"/>
              </w:rPr>
            </w:pPr>
            <w:r>
              <w:rPr>
                <w:rFonts w:ascii="Times New Roman" w:eastAsia="ＭＳ Ｐゴシック" w:hAnsi="Times New Roman" w:cs="Times New Roman" w:hint="eastAsia"/>
                <w:kern w:val="0"/>
                <w:sz w:val="16"/>
                <w:szCs w:val="16"/>
              </w:rPr>
              <w:t>一般政府財政収支</w:t>
            </w:r>
            <w:r w:rsidR="00394B44" w:rsidRPr="00394B44">
              <w:rPr>
                <w:rFonts w:ascii="Times New Roman" w:eastAsia="ＭＳ Ｐゴシック" w:hAnsi="Times New Roman" w:cs="Times New Roman"/>
                <w:kern w:val="0"/>
                <w:sz w:val="16"/>
                <w:szCs w:val="16"/>
              </w:rPr>
              <w:t xml:space="preserve"> (</w:t>
            </w:r>
            <w:r>
              <w:rPr>
                <w:rFonts w:ascii="Times New Roman" w:eastAsia="ＭＳ Ｐゴシック" w:hAnsi="Times New Roman" w:cs="Times New Roman" w:hint="eastAsia"/>
                <w:kern w:val="0"/>
                <w:sz w:val="16"/>
                <w:szCs w:val="16"/>
              </w:rPr>
              <w:t>対</w:t>
            </w:r>
            <w:r w:rsidR="00394B44" w:rsidRPr="00394B44">
              <w:rPr>
                <w:rFonts w:ascii="Times New Roman" w:eastAsia="ＭＳ Ｐゴシック" w:hAnsi="Times New Roman" w:cs="Times New Roman"/>
                <w:kern w:val="0"/>
                <w:sz w:val="16"/>
                <w:szCs w:val="16"/>
              </w:rPr>
              <w:t>GDP</w:t>
            </w:r>
            <w:r>
              <w:rPr>
                <w:rFonts w:ascii="Times New Roman" w:eastAsia="ＭＳ Ｐゴシック" w:hAnsi="Times New Roman" w:cs="Times New Roman" w:hint="eastAsia"/>
                <w:kern w:val="0"/>
                <w:sz w:val="16"/>
                <w:szCs w:val="16"/>
              </w:rPr>
              <w:t>比</w:t>
            </w:r>
            <w:r w:rsidR="00394B44" w:rsidRPr="00394B44">
              <w:rPr>
                <w:rFonts w:ascii="Times New Roman" w:eastAsia="ＭＳ Ｐゴシック" w:hAnsi="Times New Roman" w:cs="Times New Roman"/>
                <w:kern w:val="0"/>
                <w:sz w:val="16"/>
                <w:szCs w:val="16"/>
              </w:rPr>
              <w:t>)</w:t>
            </w:r>
          </w:p>
        </w:tc>
        <w:tc>
          <w:tcPr>
            <w:tcW w:w="677"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-2.1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-2.3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-1.6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-1.0 </w:t>
            </w:r>
          </w:p>
        </w:tc>
        <w:tc>
          <w:tcPr>
            <w:tcW w:w="708"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-0.4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-0.5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-0.4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-4.2 </w:t>
            </w:r>
          </w:p>
        </w:tc>
        <w:tc>
          <w:tcPr>
            <w:tcW w:w="708"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-9.7 </w:t>
            </w:r>
          </w:p>
        </w:tc>
      </w:tr>
      <w:tr w:rsidR="00394B44" w:rsidRPr="00394B44" w:rsidTr="00EF6FED">
        <w:trPr>
          <w:trHeight w:val="345"/>
        </w:trPr>
        <w:tc>
          <w:tcPr>
            <w:tcW w:w="2740" w:type="dxa"/>
            <w:tcBorders>
              <w:top w:val="nil"/>
              <w:left w:val="nil"/>
              <w:bottom w:val="nil"/>
              <w:right w:val="single" w:sz="4" w:space="0" w:color="auto"/>
            </w:tcBorders>
            <w:shd w:val="clear" w:color="auto" w:fill="auto"/>
            <w:hideMark/>
          </w:tcPr>
          <w:p w:rsidR="00394B44" w:rsidRPr="00394B44" w:rsidRDefault="005771ED" w:rsidP="005771ED">
            <w:pPr>
              <w:widowControl/>
              <w:spacing w:after="0"/>
              <w:rPr>
                <w:rFonts w:ascii="Times New Roman" w:eastAsia="ＭＳ Ｐゴシック" w:hAnsi="Times New Roman" w:cs="Times New Roman"/>
                <w:kern w:val="0"/>
                <w:sz w:val="16"/>
                <w:szCs w:val="16"/>
              </w:rPr>
            </w:pPr>
            <w:r>
              <w:rPr>
                <w:rFonts w:ascii="Times New Roman" w:eastAsia="ＭＳ Ｐゴシック" w:hAnsi="Times New Roman" w:cs="Times New Roman" w:hint="eastAsia"/>
                <w:kern w:val="0"/>
                <w:sz w:val="16"/>
                <w:szCs w:val="16"/>
              </w:rPr>
              <w:t>粗賃金</w:t>
            </w:r>
            <w:r w:rsidR="00394B44" w:rsidRPr="00394B44">
              <w:rPr>
                <w:rFonts w:ascii="Times New Roman" w:eastAsia="ＭＳ Ｐゴシック" w:hAnsi="Times New Roman" w:cs="Times New Roman"/>
                <w:kern w:val="0"/>
                <w:sz w:val="16"/>
                <w:szCs w:val="16"/>
              </w:rPr>
              <w:t>(</w:t>
            </w:r>
            <w:r>
              <w:rPr>
                <w:rFonts w:ascii="Times New Roman" w:eastAsia="ＭＳ Ｐゴシック" w:hAnsi="Times New Roman" w:cs="Times New Roman" w:hint="eastAsia"/>
                <w:kern w:val="0"/>
                <w:sz w:val="16"/>
                <w:szCs w:val="16"/>
              </w:rPr>
              <w:t>期間平均、ユーロ</w:t>
            </w:r>
            <w:r w:rsidR="00394B44" w:rsidRPr="00394B44">
              <w:rPr>
                <w:rFonts w:ascii="Times New Roman" w:eastAsia="ＭＳ Ｐゴシック" w:hAnsi="Times New Roman" w:cs="Times New Roman"/>
                <w:kern w:val="0"/>
                <w:sz w:val="16"/>
                <w:szCs w:val="16"/>
              </w:rPr>
              <w:t>)</w:t>
            </w:r>
          </w:p>
        </w:tc>
        <w:tc>
          <w:tcPr>
            <w:tcW w:w="677"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282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297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298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314 </w:t>
            </w:r>
          </w:p>
        </w:tc>
        <w:tc>
          <w:tcPr>
            <w:tcW w:w="708"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350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430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566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682 </w:t>
            </w:r>
          </w:p>
        </w:tc>
        <w:tc>
          <w:tcPr>
            <w:tcW w:w="708"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654 </w:t>
            </w:r>
          </w:p>
        </w:tc>
      </w:tr>
      <w:tr w:rsidR="00394B44" w:rsidRPr="00394B44" w:rsidTr="00EF6FED">
        <w:trPr>
          <w:trHeight w:val="360"/>
        </w:trPr>
        <w:tc>
          <w:tcPr>
            <w:tcW w:w="2740" w:type="dxa"/>
            <w:tcBorders>
              <w:top w:val="nil"/>
              <w:left w:val="nil"/>
              <w:bottom w:val="nil"/>
              <w:right w:val="single" w:sz="4" w:space="0" w:color="auto"/>
            </w:tcBorders>
            <w:shd w:val="clear" w:color="auto" w:fill="auto"/>
            <w:hideMark/>
          </w:tcPr>
          <w:p w:rsidR="00394B44" w:rsidRPr="00394B44" w:rsidRDefault="005771ED" w:rsidP="005771ED">
            <w:pPr>
              <w:widowControl/>
              <w:spacing w:after="0"/>
              <w:rPr>
                <w:rFonts w:ascii="Times New Roman" w:eastAsia="ＭＳ Ｐゴシック" w:hAnsi="Times New Roman" w:cs="Times New Roman"/>
                <w:kern w:val="0"/>
                <w:sz w:val="16"/>
                <w:szCs w:val="16"/>
              </w:rPr>
            </w:pPr>
            <w:r>
              <w:rPr>
                <w:rFonts w:ascii="Times New Roman" w:eastAsia="ＭＳ Ｐゴシック" w:hAnsi="Times New Roman" w:cs="Times New Roman" w:hint="eastAsia"/>
                <w:kern w:val="0"/>
                <w:sz w:val="16"/>
                <w:szCs w:val="16"/>
              </w:rPr>
              <w:t>失業率</w:t>
            </w:r>
            <w:r w:rsidR="00394B44" w:rsidRPr="00394B44">
              <w:rPr>
                <w:rFonts w:ascii="Times New Roman" w:eastAsia="ＭＳ Ｐゴシック" w:hAnsi="Times New Roman" w:cs="Times New Roman"/>
                <w:kern w:val="0"/>
                <w:sz w:val="16"/>
                <w:szCs w:val="16"/>
              </w:rPr>
              <w:t xml:space="preserve"> (</w:t>
            </w:r>
            <w:r>
              <w:rPr>
                <w:rFonts w:ascii="Times New Roman" w:eastAsia="ＭＳ Ｐゴシック" w:hAnsi="Times New Roman" w:cs="Times New Roman" w:hint="eastAsia"/>
                <w:kern w:val="0"/>
                <w:sz w:val="16"/>
                <w:szCs w:val="16"/>
              </w:rPr>
              <w:t>期末</w:t>
            </w:r>
            <w:r w:rsidR="00394B44" w:rsidRPr="00394B44">
              <w:rPr>
                <w:rFonts w:ascii="Times New Roman" w:eastAsia="ＭＳ Ｐゴシック" w:hAnsi="Times New Roman" w:cs="Times New Roman"/>
                <w:kern w:val="0"/>
                <w:sz w:val="16"/>
                <w:szCs w:val="16"/>
              </w:rPr>
              <w:t>)</w:t>
            </w:r>
          </w:p>
        </w:tc>
        <w:tc>
          <w:tcPr>
            <w:tcW w:w="677"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12.9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11.6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10.3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10.3 </w:t>
            </w:r>
          </w:p>
        </w:tc>
        <w:tc>
          <w:tcPr>
            <w:tcW w:w="708"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8.7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6.8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5.4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9.9 </w:t>
            </w:r>
          </w:p>
        </w:tc>
        <w:tc>
          <w:tcPr>
            <w:tcW w:w="708"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16.0 </w:t>
            </w:r>
          </w:p>
        </w:tc>
      </w:tr>
      <w:tr w:rsidR="00394B44" w:rsidRPr="00394B44" w:rsidTr="00EF6FED">
        <w:trPr>
          <w:trHeight w:val="360"/>
        </w:trPr>
        <w:tc>
          <w:tcPr>
            <w:tcW w:w="2740" w:type="dxa"/>
            <w:tcBorders>
              <w:top w:val="nil"/>
              <w:left w:val="nil"/>
              <w:bottom w:val="nil"/>
              <w:right w:val="single" w:sz="4" w:space="0" w:color="auto"/>
            </w:tcBorders>
            <w:shd w:val="clear" w:color="auto" w:fill="auto"/>
            <w:hideMark/>
          </w:tcPr>
          <w:p w:rsidR="00394B44" w:rsidRPr="00394B44" w:rsidRDefault="005771ED" w:rsidP="005771ED">
            <w:pPr>
              <w:widowControl/>
              <w:spacing w:after="0"/>
              <w:rPr>
                <w:rFonts w:ascii="Times New Roman" w:eastAsia="ＭＳ Ｐゴシック" w:hAnsi="Times New Roman" w:cs="Times New Roman"/>
                <w:kern w:val="0"/>
                <w:sz w:val="16"/>
                <w:szCs w:val="16"/>
              </w:rPr>
            </w:pPr>
            <w:r>
              <w:rPr>
                <w:rFonts w:ascii="Times New Roman" w:eastAsia="ＭＳ Ｐゴシック" w:hAnsi="Times New Roman" w:cs="Times New Roman" w:hint="eastAsia"/>
                <w:kern w:val="0"/>
                <w:sz w:val="16"/>
                <w:szCs w:val="16"/>
              </w:rPr>
              <w:t>輸出</w:t>
            </w:r>
            <w:r>
              <w:rPr>
                <w:rFonts w:ascii="Times New Roman" w:eastAsia="ＭＳ Ｐゴシック" w:hAnsi="Times New Roman" w:cs="Times New Roman" w:hint="eastAsia"/>
                <w:kern w:val="0"/>
                <w:sz w:val="16"/>
                <w:szCs w:val="16"/>
              </w:rPr>
              <w:t xml:space="preserve"> </w:t>
            </w:r>
            <w:r w:rsidR="00394B44" w:rsidRPr="00394B44">
              <w:rPr>
                <w:rFonts w:ascii="Times New Roman" w:eastAsia="ＭＳ Ｐゴシック" w:hAnsi="Times New Roman" w:cs="Times New Roman"/>
                <w:kern w:val="0"/>
                <w:sz w:val="16"/>
                <w:szCs w:val="16"/>
              </w:rPr>
              <w:t>(</w:t>
            </w:r>
            <w:r>
              <w:rPr>
                <w:rFonts w:ascii="Times New Roman" w:eastAsia="ＭＳ Ｐゴシック" w:hAnsi="Times New Roman" w:cs="Times New Roman" w:hint="eastAsia"/>
                <w:kern w:val="0"/>
                <w:sz w:val="16"/>
                <w:szCs w:val="16"/>
              </w:rPr>
              <w:t>100</w:t>
            </w:r>
            <w:r>
              <w:rPr>
                <w:rFonts w:ascii="Times New Roman" w:eastAsia="ＭＳ Ｐゴシック" w:hAnsi="Times New Roman" w:cs="Times New Roman" w:hint="eastAsia"/>
                <w:kern w:val="0"/>
                <w:sz w:val="16"/>
                <w:szCs w:val="16"/>
              </w:rPr>
              <w:t>万ユーロ、当該年度価格</w:t>
            </w:r>
            <w:r w:rsidR="00394B44" w:rsidRPr="00394B44">
              <w:rPr>
                <w:rFonts w:ascii="Times New Roman" w:eastAsia="ＭＳ Ｐゴシック" w:hAnsi="Times New Roman" w:cs="Times New Roman"/>
                <w:kern w:val="0"/>
                <w:sz w:val="16"/>
                <w:szCs w:val="16"/>
              </w:rPr>
              <w:t>)</w:t>
            </w:r>
          </w:p>
        </w:tc>
        <w:tc>
          <w:tcPr>
            <w:tcW w:w="677"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2,232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2,416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2,559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3,204 </w:t>
            </w:r>
          </w:p>
        </w:tc>
        <w:tc>
          <w:tcPr>
            <w:tcW w:w="708"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4,085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4,594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5,727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6,202 </w:t>
            </w:r>
          </w:p>
        </w:tc>
        <w:tc>
          <w:tcPr>
            <w:tcW w:w="708"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5,552 </w:t>
            </w:r>
          </w:p>
        </w:tc>
      </w:tr>
      <w:tr w:rsidR="00394B44" w:rsidRPr="00394B44" w:rsidTr="00EF6FED">
        <w:trPr>
          <w:trHeight w:val="360"/>
        </w:trPr>
        <w:tc>
          <w:tcPr>
            <w:tcW w:w="2740" w:type="dxa"/>
            <w:tcBorders>
              <w:top w:val="nil"/>
              <w:left w:val="nil"/>
              <w:bottom w:val="nil"/>
              <w:right w:val="single" w:sz="4" w:space="0" w:color="auto"/>
            </w:tcBorders>
            <w:shd w:val="clear" w:color="auto" w:fill="auto"/>
            <w:hideMark/>
          </w:tcPr>
          <w:p w:rsidR="00394B44" w:rsidRPr="00394B44" w:rsidRDefault="005771ED" w:rsidP="005771ED">
            <w:pPr>
              <w:widowControl/>
              <w:spacing w:after="0"/>
              <w:rPr>
                <w:rFonts w:ascii="Times New Roman" w:eastAsia="ＭＳ Ｐゴシック" w:hAnsi="Times New Roman" w:cs="Times New Roman"/>
                <w:kern w:val="0"/>
                <w:sz w:val="16"/>
                <w:szCs w:val="16"/>
              </w:rPr>
            </w:pPr>
            <w:r>
              <w:rPr>
                <w:rFonts w:ascii="Times New Roman" w:eastAsia="ＭＳ Ｐゴシック" w:hAnsi="Times New Roman" w:cs="Times New Roman" w:hint="eastAsia"/>
                <w:kern w:val="0"/>
                <w:sz w:val="16"/>
                <w:szCs w:val="16"/>
              </w:rPr>
              <w:t>輸入</w:t>
            </w:r>
            <w:r>
              <w:rPr>
                <w:rFonts w:ascii="Times New Roman" w:eastAsia="ＭＳ Ｐゴシック" w:hAnsi="Times New Roman" w:cs="Times New Roman" w:hint="eastAsia"/>
                <w:kern w:val="0"/>
                <w:sz w:val="16"/>
                <w:szCs w:val="16"/>
              </w:rPr>
              <w:t xml:space="preserve"> </w:t>
            </w:r>
            <w:r w:rsidRPr="00394B44">
              <w:rPr>
                <w:rFonts w:ascii="Times New Roman" w:eastAsia="ＭＳ Ｐゴシック" w:hAnsi="Times New Roman" w:cs="Times New Roman"/>
                <w:kern w:val="0"/>
                <w:sz w:val="16"/>
                <w:szCs w:val="16"/>
              </w:rPr>
              <w:t>(</w:t>
            </w:r>
            <w:r>
              <w:rPr>
                <w:rFonts w:ascii="Times New Roman" w:eastAsia="ＭＳ Ｐゴシック" w:hAnsi="Times New Roman" w:cs="Times New Roman" w:hint="eastAsia"/>
                <w:kern w:val="0"/>
                <w:sz w:val="16"/>
                <w:szCs w:val="16"/>
              </w:rPr>
              <w:t>100</w:t>
            </w:r>
            <w:r>
              <w:rPr>
                <w:rFonts w:ascii="Times New Roman" w:eastAsia="ＭＳ Ｐゴシック" w:hAnsi="Times New Roman" w:cs="Times New Roman" w:hint="eastAsia"/>
                <w:kern w:val="0"/>
                <w:sz w:val="16"/>
                <w:szCs w:val="16"/>
              </w:rPr>
              <w:t>万ユーロ、当該年度価格</w:t>
            </w:r>
            <w:r w:rsidRPr="00394B44">
              <w:rPr>
                <w:rFonts w:ascii="Times New Roman" w:eastAsia="ＭＳ Ｐゴシック" w:hAnsi="Times New Roman" w:cs="Times New Roman"/>
                <w:kern w:val="0"/>
                <w:sz w:val="16"/>
                <w:szCs w:val="16"/>
              </w:rPr>
              <w:t>)</w:t>
            </w:r>
          </w:p>
        </w:tc>
        <w:tc>
          <w:tcPr>
            <w:tcW w:w="677"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3,910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4,284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4,634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5,671 </w:t>
            </w:r>
          </w:p>
        </w:tc>
        <w:tc>
          <w:tcPr>
            <w:tcW w:w="708"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6,879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8,828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10,986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10,534 </w:t>
            </w:r>
          </w:p>
        </w:tc>
        <w:tc>
          <w:tcPr>
            <w:tcW w:w="708"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5,597 </w:t>
            </w:r>
          </w:p>
        </w:tc>
      </w:tr>
      <w:tr w:rsidR="00394B44" w:rsidRPr="00394B44" w:rsidTr="00EF6FED">
        <w:trPr>
          <w:trHeight w:val="360"/>
        </w:trPr>
        <w:tc>
          <w:tcPr>
            <w:tcW w:w="2740" w:type="dxa"/>
            <w:tcBorders>
              <w:top w:val="nil"/>
              <w:left w:val="nil"/>
              <w:bottom w:val="nil"/>
              <w:right w:val="single" w:sz="4" w:space="0" w:color="auto"/>
            </w:tcBorders>
            <w:shd w:val="clear" w:color="auto" w:fill="auto"/>
            <w:hideMark/>
          </w:tcPr>
          <w:p w:rsidR="00394B44" w:rsidRPr="00394B44" w:rsidRDefault="005771ED" w:rsidP="005771ED">
            <w:pPr>
              <w:widowControl/>
              <w:spacing w:after="0"/>
              <w:rPr>
                <w:rFonts w:ascii="Times New Roman" w:eastAsia="ＭＳ Ｐゴシック" w:hAnsi="Times New Roman" w:cs="Times New Roman"/>
                <w:kern w:val="0"/>
                <w:sz w:val="16"/>
                <w:szCs w:val="16"/>
              </w:rPr>
            </w:pPr>
            <w:r>
              <w:rPr>
                <w:rFonts w:ascii="Times New Roman" w:eastAsia="ＭＳ Ｐゴシック" w:hAnsi="Times New Roman" w:cs="Times New Roman" w:hint="eastAsia"/>
                <w:kern w:val="0"/>
                <w:sz w:val="16"/>
                <w:szCs w:val="16"/>
              </w:rPr>
              <w:t>輸出</w:t>
            </w:r>
            <w:r w:rsidR="00394B44" w:rsidRPr="00394B44">
              <w:rPr>
                <w:rFonts w:ascii="Times New Roman" w:eastAsia="ＭＳ Ｐゴシック" w:hAnsi="Times New Roman" w:cs="Times New Roman"/>
                <w:kern w:val="0"/>
                <w:sz w:val="16"/>
                <w:szCs w:val="16"/>
              </w:rPr>
              <w:t>/</w:t>
            </w:r>
            <w:r>
              <w:rPr>
                <w:rFonts w:ascii="Times New Roman" w:eastAsia="ＭＳ Ｐゴシック" w:hAnsi="Times New Roman" w:cs="Times New Roman" w:hint="eastAsia"/>
                <w:kern w:val="0"/>
                <w:sz w:val="16"/>
                <w:szCs w:val="16"/>
              </w:rPr>
              <w:t>輸入比率</w:t>
            </w:r>
          </w:p>
        </w:tc>
        <w:tc>
          <w:tcPr>
            <w:tcW w:w="677"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57.1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56.4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55.2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56.5 </w:t>
            </w:r>
          </w:p>
        </w:tc>
        <w:tc>
          <w:tcPr>
            <w:tcW w:w="708"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59.4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52.0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52.1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58.9 </w:t>
            </w:r>
          </w:p>
        </w:tc>
        <w:tc>
          <w:tcPr>
            <w:tcW w:w="708"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99.2 </w:t>
            </w:r>
          </w:p>
        </w:tc>
      </w:tr>
      <w:tr w:rsidR="00394B44" w:rsidRPr="00394B44" w:rsidTr="00EF6FED">
        <w:trPr>
          <w:trHeight w:val="360"/>
        </w:trPr>
        <w:tc>
          <w:tcPr>
            <w:tcW w:w="2740" w:type="dxa"/>
            <w:tcBorders>
              <w:top w:val="nil"/>
              <w:left w:val="nil"/>
              <w:bottom w:val="nil"/>
              <w:right w:val="single" w:sz="4" w:space="0" w:color="auto"/>
            </w:tcBorders>
            <w:shd w:val="clear" w:color="auto" w:fill="auto"/>
            <w:hideMark/>
          </w:tcPr>
          <w:p w:rsidR="00394B44" w:rsidRPr="00394B44" w:rsidRDefault="00394B44" w:rsidP="005771ED">
            <w:pPr>
              <w:widowControl/>
              <w:spacing w:after="0"/>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FDI</w:t>
            </w:r>
            <w:r w:rsidR="005771ED">
              <w:rPr>
                <w:rFonts w:ascii="Times New Roman" w:eastAsia="ＭＳ Ｐゴシック" w:hAnsi="Times New Roman" w:cs="Times New Roman" w:hint="eastAsia"/>
                <w:kern w:val="0"/>
                <w:sz w:val="16"/>
                <w:szCs w:val="16"/>
              </w:rPr>
              <w:t>流入（対</w:t>
            </w:r>
            <w:r w:rsidRPr="00394B44">
              <w:rPr>
                <w:rFonts w:ascii="Times New Roman" w:eastAsia="ＭＳ Ｐゴシック" w:hAnsi="Times New Roman" w:cs="Times New Roman"/>
                <w:kern w:val="0"/>
                <w:sz w:val="16"/>
                <w:szCs w:val="16"/>
              </w:rPr>
              <w:t>GDP</w:t>
            </w:r>
            <w:r w:rsidR="005771ED">
              <w:rPr>
                <w:rFonts w:ascii="Times New Roman" w:eastAsia="ＭＳ Ｐゴシック" w:hAnsi="Times New Roman" w:cs="Times New Roman" w:hint="eastAsia"/>
                <w:kern w:val="0"/>
                <w:sz w:val="16"/>
                <w:szCs w:val="16"/>
              </w:rPr>
              <w:t>比）</w:t>
            </w:r>
            <w:r w:rsidRPr="00394B44">
              <w:rPr>
                <w:rFonts w:ascii="Times New Roman" w:eastAsia="ＭＳ Ｐゴシック" w:hAnsi="Times New Roman" w:cs="Times New Roman"/>
                <w:kern w:val="0"/>
                <w:sz w:val="16"/>
                <w:szCs w:val="16"/>
              </w:rPr>
              <w:t xml:space="preserve"> **</w:t>
            </w:r>
          </w:p>
        </w:tc>
        <w:tc>
          <w:tcPr>
            <w:tcW w:w="677"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2.1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2.7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2.3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4.4 </w:t>
            </w:r>
          </w:p>
        </w:tc>
        <w:tc>
          <w:tcPr>
            <w:tcW w:w="708"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3.1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8.3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7.8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4.0 </w:t>
            </w:r>
          </w:p>
        </w:tc>
        <w:tc>
          <w:tcPr>
            <w:tcW w:w="708" w:type="dxa"/>
            <w:tcBorders>
              <w:top w:val="nil"/>
              <w:left w:val="nil"/>
              <w:bottom w:val="nil"/>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0.4 </w:t>
            </w:r>
          </w:p>
        </w:tc>
      </w:tr>
      <w:tr w:rsidR="00394B44" w:rsidRPr="00394B44" w:rsidTr="00EF6FED">
        <w:trPr>
          <w:trHeight w:val="360"/>
        </w:trPr>
        <w:tc>
          <w:tcPr>
            <w:tcW w:w="2740" w:type="dxa"/>
            <w:tcBorders>
              <w:top w:val="nil"/>
              <w:left w:val="nil"/>
              <w:bottom w:val="single" w:sz="4" w:space="0" w:color="auto"/>
              <w:right w:val="single" w:sz="4" w:space="0" w:color="auto"/>
            </w:tcBorders>
            <w:shd w:val="clear" w:color="auto" w:fill="auto"/>
            <w:hideMark/>
          </w:tcPr>
          <w:p w:rsidR="00394B44" w:rsidRPr="00394B44" w:rsidRDefault="005771ED" w:rsidP="005771ED">
            <w:pPr>
              <w:widowControl/>
              <w:spacing w:after="0"/>
              <w:rPr>
                <w:rFonts w:ascii="Times New Roman" w:eastAsia="ＭＳ Ｐゴシック" w:hAnsi="Times New Roman" w:cs="Times New Roman"/>
                <w:kern w:val="0"/>
                <w:sz w:val="16"/>
                <w:szCs w:val="16"/>
              </w:rPr>
            </w:pPr>
            <w:r>
              <w:rPr>
                <w:rFonts w:ascii="Times New Roman" w:eastAsia="ＭＳ Ｐゴシック" w:hAnsi="Times New Roman" w:cs="Times New Roman" w:hint="eastAsia"/>
                <w:kern w:val="0"/>
                <w:sz w:val="16"/>
                <w:szCs w:val="16"/>
              </w:rPr>
              <w:t>経常収支</w:t>
            </w:r>
            <w:r w:rsidR="00394B44" w:rsidRPr="00394B44">
              <w:rPr>
                <w:rFonts w:ascii="Times New Roman" w:eastAsia="ＭＳ Ｐゴシック" w:hAnsi="Times New Roman" w:cs="Times New Roman"/>
                <w:kern w:val="0"/>
                <w:sz w:val="16"/>
                <w:szCs w:val="16"/>
              </w:rPr>
              <w:t xml:space="preserve"> (</w:t>
            </w:r>
            <w:r>
              <w:rPr>
                <w:rFonts w:ascii="Times New Roman" w:eastAsia="ＭＳ Ｐゴシック" w:hAnsi="Times New Roman" w:cs="Times New Roman" w:hint="eastAsia"/>
                <w:kern w:val="0"/>
                <w:sz w:val="16"/>
                <w:szCs w:val="16"/>
              </w:rPr>
              <w:t>対</w:t>
            </w:r>
            <w:r w:rsidR="00394B44" w:rsidRPr="00394B44">
              <w:rPr>
                <w:rFonts w:ascii="Times New Roman" w:eastAsia="ＭＳ Ｐゴシック" w:hAnsi="Times New Roman" w:cs="Times New Roman"/>
                <w:kern w:val="0"/>
                <w:sz w:val="16"/>
                <w:szCs w:val="16"/>
              </w:rPr>
              <w:t>GDP</w:t>
            </w:r>
            <w:r>
              <w:rPr>
                <w:rFonts w:ascii="Times New Roman" w:eastAsia="ＭＳ Ｐゴシック" w:hAnsi="Times New Roman" w:cs="Times New Roman" w:hint="eastAsia"/>
                <w:kern w:val="0"/>
                <w:sz w:val="16"/>
                <w:szCs w:val="16"/>
              </w:rPr>
              <w:t>比</w:t>
            </w:r>
            <w:r w:rsidR="00394B44" w:rsidRPr="00394B44">
              <w:rPr>
                <w:rFonts w:ascii="Times New Roman" w:eastAsia="ＭＳ Ｐゴシック" w:hAnsi="Times New Roman" w:cs="Times New Roman"/>
                <w:kern w:val="0"/>
                <w:sz w:val="16"/>
                <w:szCs w:val="16"/>
              </w:rPr>
              <w:t>)</w:t>
            </w:r>
          </w:p>
        </w:tc>
        <w:tc>
          <w:tcPr>
            <w:tcW w:w="677" w:type="dxa"/>
            <w:tcBorders>
              <w:top w:val="nil"/>
              <w:left w:val="nil"/>
              <w:bottom w:val="single" w:sz="4" w:space="0" w:color="auto"/>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-7.6 </w:t>
            </w:r>
          </w:p>
        </w:tc>
        <w:tc>
          <w:tcPr>
            <w:tcW w:w="709" w:type="dxa"/>
            <w:tcBorders>
              <w:top w:val="nil"/>
              <w:left w:val="nil"/>
              <w:bottom w:val="single" w:sz="4" w:space="0" w:color="auto"/>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-6.6 </w:t>
            </w:r>
          </w:p>
        </w:tc>
        <w:tc>
          <w:tcPr>
            <w:tcW w:w="709" w:type="dxa"/>
            <w:tcBorders>
              <w:top w:val="nil"/>
              <w:left w:val="nil"/>
              <w:bottom w:val="single" w:sz="4" w:space="0" w:color="auto"/>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-8.1 </w:t>
            </w:r>
          </w:p>
        </w:tc>
        <w:tc>
          <w:tcPr>
            <w:tcW w:w="709" w:type="dxa"/>
            <w:tcBorders>
              <w:top w:val="nil"/>
              <w:left w:val="nil"/>
              <w:bottom w:val="single" w:sz="4" w:space="0" w:color="auto"/>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-12.9 </w:t>
            </w:r>
          </w:p>
        </w:tc>
        <w:tc>
          <w:tcPr>
            <w:tcW w:w="708" w:type="dxa"/>
            <w:tcBorders>
              <w:top w:val="nil"/>
              <w:left w:val="nil"/>
              <w:bottom w:val="single" w:sz="4" w:space="0" w:color="auto"/>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-12.3 </w:t>
            </w:r>
          </w:p>
        </w:tc>
        <w:tc>
          <w:tcPr>
            <w:tcW w:w="709" w:type="dxa"/>
            <w:tcBorders>
              <w:top w:val="nil"/>
              <w:left w:val="nil"/>
              <w:bottom w:val="single" w:sz="4" w:space="0" w:color="auto"/>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-21.1 </w:t>
            </w:r>
          </w:p>
        </w:tc>
        <w:tc>
          <w:tcPr>
            <w:tcW w:w="709" w:type="dxa"/>
            <w:tcBorders>
              <w:top w:val="nil"/>
              <w:left w:val="nil"/>
              <w:bottom w:val="single" w:sz="4" w:space="0" w:color="auto"/>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-22.8 </w:t>
            </w:r>
          </w:p>
        </w:tc>
        <w:tc>
          <w:tcPr>
            <w:tcW w:w="709" w:type="dxa"/>
            <w:tcBorders>
              <w:top w:val="nil"/>
              <w:left w:val="nil"/>
              <w:bottom w:val="single" w:sz="4" w:space="0" w:color="auto"/>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-12.6 </w:t>
            </w:r>
          </w:p>
        </w:tc>
        <w:tc>
          <w:tcPr>
            <w:tcW w:w="708" w:type="dxa"/>
            <w:tcBorders>
              <w:top w:val="nil"/>
              <w:left w:val="nil"/>
              <w:bottom w:val="single" w:sz="4" w:space="0" w:color="auto"/>
              <w:right w:val="nil"/>
            </w:tcBorders>
            <w:shd w:val="clear" w:color="auto" w:fill="auto"/>
            <w:vAlign w:val="center"/>
            <w:hideMark/>
          </w:tcPr>
          <w:p w:rsidR="00394B44" w:rsidRPr="00394B44" w:rsidRDefault="00394B44" w:rsidP="00394B44">
            <w:pPr>
              <w:widowControl/>
              <w:spacing w:after="0"/>
              <w:jc w:val="center"/>
              <w:rPr>
                <w:rFonts w:ascii="Times New Roman" w:eastAsia="ＭＳ Ｐゴシック" w:hAnsi="Times New Roman" w:cs="Times New Roman"/>
                <w:kern w:val="0"/>
                <w:sz w:val="16"/>
                <w:szCs w:val="16"/>
              </w:rPr>
            </w:pPr>
            <w:r w:rsidRPr="00394B44">
              <w:rPr>
                <w:rFonts w:ascii="Times New Roman" w:eastAsia="ＭＳ Ｐゴシック" w:hAnsi="Times New Roman" w:cs="Times New Roman"/>
                <w:kern w:val="0"/>
                <w:sz w:val="16"/>
                <w:szCs w:val="16"/>
              </w:rPr>
              <w:t xml:space="preserve">8.6 </w:t>
            </w:r>
          </w:p>
        </w:tc>
      </w:tr>
      <w:tr w:rsidR="00394B44" w:rsidRPr="00394B44" w:rsidTr="00EF6FED">
        <w:trPr>
          <w:trHeight w:val="360"/>
        </w:trPr>
        <w:tc>
          <w:tcPr>
            <w:tcW w:w="4835" w:type="dxa"/>
            <w:gridSpan w:val="4"/>
            <w:tcBorders>
              <w:top w:val="nil"/>
              <w:left w:val="nil"/>
              <w:bottom w:val="nil"/>
              <w:right w:val="nil"/>
            </w:tcBorders>
            <w:shd w:val="clear" w:color="auto" w:fill="auto"/>
            <w:noWrap/>
            <w:vAlign w:val="center"/>
            <w:hideMark/>
          </w:tcPr>
          <w:p w:rsidR="00394B44" w:rsidRPr="00394B44" w:rsidRDefault="005771ED" w:rsidP="005771ED">
            <w:pPr>
              <w:widowControl/>
              <w:spacing w:after="0"/>
              <w:jc w:val="left"/>
              <w:rPr>
                <w:rFonts w:ascii="Times New Roman" w:eastAsia="ＭＳ Ｐゴシック" w:hAnsi="Times New Roman" w:cs="Times New Roman"/>
                <w:kern w:val="0"/>
                <w:sz w:val="20"/>
                <w:szCs w:val="20"/>
              </w:rPr>
            </w:pPr>
            <w:r>
              <w:rPr>
                <w:rFonts w:ascii="Times New Roman" w:eastAsia="ＭＳ Ｐゴシック" w:hAnsi="Times New Roman" w:cs="Times New Roman" w:hint="eastAsia"/>
                <w:kern w:val="0"/>
                <w:sz w:val="20"/>
                <w:szCs w:val="20"/>
              </w:rPr>
              <w:t>出所：</w:t>
            </w:r>
            <w:r w:rsidR="00394B44" w:rsidRPr="00394B44">
              <w:rPr>
                <w:rFonts w:ascii="Times New Roman" w:eastAsia="ＭＳ Ｐゴシック" w:hAnsi="Times New Roman" w:cs="Times New Roman"/>
                <w:kern w:val="0"/>
                <w:sz w:val="20"/>
                <w:szCs w:val="20"/>
              </w:rPr>
              <w:t xml:space="preserve"> </w:t>
            </w:r>
            <w:r w:rsidR="00394B44" w:rsidRPr="00394B44">
              <w:rPr>
                <w:rFonts w:ascii="Times New Roman" w:eastAsia="ＭＳ Ｐゴシック" w:hAnsi="Times New Roman" w:cs="Times New Roman"/>
                <w:i/>
                <w:iCs/>
                <w:kern w:val="0"/>
                <w:sz w:val="20"/>
                <w:szCs w:val="20"/>
              </w:rPr>
              <w:t>Baltic Rim Economies</w:t>
            </w:r>
            <w:r w:rsidR="00394B44" w:rsidRPr="00394B44">
              <w:rPr>
                <w:rFonts w:ascii="Times New Roman" w:eastAsia="ＭＳ Ｐゴシック" w:hAnsi="Times New Roman" w:cs="Times New Roman"/>
                <w:kern w:val="0"/>
                <w:sz w:val="20"/>
                <w:szCs w:val="20"/>
              </w:rPr>
              <w:t>, No.4, 2009,p. 2.</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left"/>
              <w:rPr>
                <w:rFonts w:ascii="Times New Roman" w:eastAsia="ＭＳ Ｐゴシック" w:hAnsi="Times New Roman" w:cs="Times New Roman"/>
                <w:kern w:val="0"/>
                <w:sz w:val="18"/>
                <w:szCs w:val="18"/>
              </w:rPr>
            </w:pPr>
            <w:r w:rsidRPr="00394B44">
              <w:rPr>
                <w:rFonts w:ascii="Times New Roman" w:eastAsia="ＭＳ Ｐゴシック" w:hAnsi="Times New Roman" w:cs="Times New Roman"/>
                <w:kern w:val="0"/>
                <w:sz w:val="18"/>
                <w:szCs w:val="18"/>
              </w:rPr>
              <w:t xml:space="preserve">　</w:t>
            </w:r>
          </w:p>
        </w:tc>
        <w:tc>
          <w:tcPr>
            <w:tcW w:w="708" w:type="dxa"/>
            <w:tcBorders>
              <w:top w:val="nil"/>
              <w:left w:val="nil"/>
              <w:bottom w:val="nil"/>
              <w:right w:val="nil"/>
            </w:tcBorders>
            <w:shd w:val="clear" w:color="auto" w:fill="auto"/>
            <w:vAlign w:val="center"/>
            <w:hideMark/>
          </w:tcPr>
          <w:p w:rsidR="00394B44" w:rsidRPr="00394B44" w:rsidRDefault="00394B44" w:rsidP="00394B44">
            <w:pPr>
              <w:widowControl/>
              <w:spacing w:after="0"/>
              <w:jc w:val="left"/>
              <w:rPr>
                <w:rFonts w:ascii="Times New Roman" w:eastAsia="ＭＳ Ｐゴシック" w:hAnsi="Times New Roman" w:cs="Times New Roman"/>
                <w:kern w:val="0"/>
                <w:sz w:val="18"/>
                <w:szCs w:val="18"/>
              </w:rPr>
            </w:pPr>
            <w:r w:rsidRPr="00394B44">
              <w:rPr>
                <w:rFonts w:ascii="Times New Roman" w:eastAsia="ＭＳ Ｐゴシック" w:hAnsi="Times New Roman" w:cs="Times New Roman"/>
                <w:kern w:val="0"/>
                <w:sz w:val="18"/>
                <w:szCs w:val="18"/>
              </w:rPr>
              <w:t xml:space="preserve">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left"/>
              <w:rPr>
                <w:rFonts w:ascii="Times New Roman" w:eastAsia="ＭＳ Ｐゴシック" w:hAnsi="Times New Roman" w:cs="Times New Roman"/>
                <w:kern w:val="0"/>
                <w:sz w:val="18"/>
                <w:szCs w:val="18"/>
              </w:rPr>
            </w:pPr>
            <w:r w:rsidRPr="00394B44">
              <w:rPr>
                <w:rFonts w:ascii="Times New Roman" w:eastAsia="ＭＳ Ｐゴシック" w:hAnsi="Times New Roman" w:cs="Times New Roman"/>
                <w:kern w:val="0"/>
                <w:sz w:val="18"/>
                <w:szCs w:val="18"/>
              </w:rPr>
              <w:t xml:space="preserve">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left"/>
              <w:rPr>
                <w:rFonts w:ascii="Times New Roman" w:eastAsia="ＭＳ Ｐゴシック" w:hAnsi="Times New Roman" w:cs="Times New Roman"/>
                <w:kern w:val="0"/>
                <w:sz w:val="18"/>
                <w:szCs w:val="18"/>
              </w:rPr>
            </w:pPr>
            <w:r w:rsidRPr="00394B44">
              <w:rPr>
                <w:rFonts w:ascii="Times New Roman" w:eastAsia="ＭＳ Ｐゴシック" w:hAnsi="Times New Roman" w:cs="Times New Roman"/>
                <w:kern w:val="0"/>
                <w:sz w:val="18"/>
                <w:szCs w:val="18"/>
              </w:rPr>
              <w:t xml:space="preserve">　</w:t>
            </w:r>
          </w:p>
        </w:tc>
        <w:tc>
          <w:tcPr>
            <w:tcW w:w="709" w:type="dxa"/>
            <w:tcBorders>
              <w:top w:val="nil"/>
              <w:left w:val="nil"/>
              <w:bottom w:val="nil"/>
              <w:right w:val="nil"/>
            </w:tcBorders>
            <w:shd w:val="clear" w:color="auto" w:fill="auto"/>
            <w:vAlign w:val="center"/>
            <w:hideMark/>
          </w:tcPr>
          <w:p w:rsidR="00394B44" w:rsidRPr="00394B44" w:rsidRDefault="00394B44" w:rsidP="00394B44">
            <w:pPr>
              <w:widowControl/>
              <w:spacing w:after="0"/>
              <w:jc w:val="left"/>
              <w:rPr>
                <w:rFonts w:ascii="Times New Roman" w:eastAsia="ＭＳ Ｐゴシック" w:hAnsi="Times New Roman" w:cs="Times New Roman"/>
                <w:kern w:val="0"/>
                <w:sz w:val="18"/>
                <w:szCs w:val="18"/>
              </w:rPr>
            </w:pPr>
            <w:r w:rsidRPr="00394B44">
              <w:rPr>
                <w:rFonts w:ascii="Times New Roman" w:eastAsia="ＭＳ Ｐゴシック" w:hAnsi="Times New Roman" w:cs="Times New Roman"/>
                <w:kern w:val="0"/>
                <w:sz w:val="18"/>
                <w:szCs w:val="18"/>
              </w:rPr>
              <w:t xml:space="preserve">　</w:t>
            </w:r>
          </w:p>
        </w:tc>
        <w:tc>
          <w:tcPr>
            <w:tcW w:w="708" w:type="dxa"/>
            <w:tcBorders>
              <w:top w:val="nil"/>
              <w:left w:val="nil"/>
              <w:bottom w:val="nil"/>
              <w:right w:val="nil"/>
            </w:tcBorders>
            <w:shd w:val="clear" w:color="auto" w:fill="auto"/>
            <w:vAlign w:val="center"/>
            <w:hideMark/>
          </w:tcPr>
          <w:p w:rsidR="00394B44" w:rsidRPr="00394B44" w:rsidRDefault="00394B44" w:rsidP="00394B44">
            <w:pPr>
              <w:widowControl/>
              <w:spacing w:after="0"/>
              <w:jc w:val="left"/>
              <w:rPr>
                <w:rFonts w:ascii="Times New Roman" w:eastAsia="ＭＳ Ｐゴシック" w:hAnsi="Times New Roman" w:cs="Times New Roman"/>
                <w:kern w:val="0"/>
                <w:sz w:val="18"/>
                <w:szCs w:val="18"/>
              </w:rPr>
            </w:pPr>
            <w:r w:rsidRPr="00394B44">
              <w:rPr>
                <w:rFonts w:ascii="Times New Roman" w:eastAsia="ＭＳ Ｐゴシック" w:hAnsi="Times New Roman" w:cs="Times New Roman"/>
                <w:kern w:val="0"/>
                <w:sz w:val="18"/>
                <w:szCs w:val="18"/>
              </w:rPr>
              <w:t xml:space="preserve">　</w:t>
            </w:r>
          </w:p>
        </w:tc>
      </w:tr>
    </w:tbl>
    <w:p w:rsidR="00C35908" w:rsidRPr="00081DBD" w:rsidRDefault="00C35908" w:rsidP="00C35908">
      <w:pPr>
        <w:pStyle w:val="af"/>
        <w:ind w:firstLineChars="100" w:firstLine="210"/>
        <w:jc w:val="both"/>
        <w:rPr>
          <w:sz w:val="21"/>
          <w:szCs w:val="21"/>
        </w:rPr>
      </w:pPr>
    </w:p>
    <w:p w:rsidR="009D0D95" w:rsidRPr="00020407" w:rsidRDefault="009D0D95" w:rsidP="009D0D95">
      <w:pPr>
        <w:ind w:firstLineChars="100" w:firstLine="210"/>
        <w:rPr>
          <w:rFonts w:ascii="Times New Roman" w:hAnsi="Times New Roman" w:cs="Times New Roman"/>
        </w:rPr>
      </w:pPr>
      <w:r>
        <w:rPr>
          <w:rFonts w:ascii="Times New Roman" w:hAnsi="Times New Roman" w:cs="Times New Roman" w:hint="eastAsia"/>
        </w:rPr>
        <w:t>2001</w:t>
      </w:r>
      <w:r>
        <w:rPr>
          <w:rFonts w:ascii="Times New Roman" w:hAnsi="Times New Roman" w:cs="Times New Roman" w:hint="eastAsia"/>
        </w:rPr>
        <w:t>年には、バルト</w:t>
      </w:r>
      <w:r>
        <w:rPr>
          <w:rFonts w:ascii="Times New Roman" w:hAnsi="Times New Roman" w:cs="Times New Roman" w:hint="eastAsia"/>
        </w:rPr>
        <w:t>3</w:t>
      </w:r>
      <w:r>
        <w:rPr>
          <w:rFonts w:ascii="Times New Roman" w:hAnsi="Times New Roman" w:cs="Times New Roman" w:hint="eastAsia"/>
        </w:rPr>
        <w:t>国はいずれにおいても失業率は</w:t>
      </w:r>
      <w:r>
        <w:rPr>
          <w:rFonts w:ascii="Times New Roman" w:hAnsi="Times New Roman" w:cs="Times New Roman" w:hint="eastAsia"/>
        </w:rPr>
        <w:t>2</w:t>
      </w:r>
      <w:r>
        <w:rPr>
          <w:rFonts w:ascii="Times New Roman" w:hAnsi="Times New Roman" w:cs="Times New Roman" w:hint="eastAsia"/>
        </w:rPr>
        <w:t>桁を記録していた。失業率は徐々に低下していたが、</w:t>
      </w:r>
      <w:r w:rsidRPr="003D2124">
        <w:rPr>
          <w:rFonts w:ascii="Times New Roman" w:hAnsi="Times New Roman" w:cs="Times New Roman"/>
        </w:rPr>
        <w:t>2004</w:t>
      </w:r>
      <w:r w:rsidRPr="003D2124">
        <w:rPr>
          <w:rFonts w:ascii="Times New Roman" w:hAnsi="Times New Roman" w:cs="Times New Roman"/>
        </w:rPr>
        <w:t>年</w:t>
      </w:r>
      <w:r>
        <w:rPr>
          <w:rFonts w:ascii="Times New Roman" w:hAnsi="Times New Roman" w:cs="Times New Roman" w:hint="eastAsia"/>
        </w:rPr>
        <w:t>5</w:t>
      </w:r>
      <w:r>
        <w:rPr>
          <w:rFonts w:ascii="Times New Roman" w:hAnsi="Times New Roman" w:cs="Times New Roman" w:hint="eastAsia"/>
        </w:rPr>
        <w:t>月</w:t>
      </w:r>
      <w:r w:rsidRPr="003D2124">
        <w:rPr>
          <w:rFonts w:ascii="Times New Roman" w:hAnsi="Times New Roman" w:cs="Times New Roman"/>
        </w:rPr>
        <w:t>の</w:t>
      </w:r>
      <w:r w:rsidRPr="003D2124">
        <w:rPr>
          <w:rFonts w:ascii="Times New Roman" w:hAnsi="Times New Roman" w:cs="Times New Roman"/>
        </w:rPr>
        <w:t>EU</w:t>
      </w:r>
      <w:r w:rsidRPr="003D2124">
        <w:rPr>
          <w:rFonts w:ascii="Times New Roman" w:hAnsi="Times New Roman" w:cs="Times New Roman"/>
        </w:rPr>
        <w:t>加盟後、</w:t>
      </w:r>
      <w:r>
        <w:rPr>
          <w:rFonts w:ascii="Times New Roman" w:hAnsi="Times New Roman" w:cs="Times New Roman" w:hint="eastAsia"/>
        </w:rPr>
        <w:t>高い賃金水準に惹きつけられて、</w:t>
      </w:r>
      <w:r>
        <w:rPr>
          <w:rFonts w:ascii="Times New Roman" w:hAnsi="Times New Roman" w:cs="Times New Roman" w:hint="eastAsia"/>
        </w:rPr>
        <w:t xml:space="preserve">EU-15 </w:t>
      </w:r>
      <w:r>
        <w:rPr>
          <w:rFonts w:ascii="Times New Roman" w:hAnsi="Times New Roman" w:cs="Times New Roman" w:hint="eastAsia"/>
        </w:rPr>
        <w:t>、とくにイギリスへの労働移住が活発になった</w:t>
      </w:r>
      <w:r w:rsidR="006308D0">
        <w:rPr>
          <w:rFonts w:ascii="Times New Roman" w:hAnsi="Times New Roman" w:cs="Times New Roman" w:hint="eastAsia"/>
        </w:rPr>
        <w:t>（図</w:t>
      </w:r>
      <w:r w:rsidR="006308D0">
        <w:rPr>
          <w:rFonts w:ascii="Times New Roman" w:hAnsi="Times New Roman" w:cs="Times New Roman" w:hint="eastAsia"/>
        </w:rPr>
        <w:t>2</w:t>
      </w:r>
      <w:r w:rsidR="006308D0">
        <w:rPr>
          <w:rFonts w:ascii="Times New Roman" w:hAnsi="Times New Roman" w:cs="Times New Roman" w:hint="eastAsia"/>
        </w:rPr>
        <w:t>）</w:t>
      </w:r>
      <w:r>
        <w:rPr>
          <w:rFonts w:ascii="Times New Roman" w:hAnsi="Times New Roman" w:cs="Times New Roman" w:hint="eastAsia"/>
        </w:rPr>
        <w:t>。</w:t>
      </w:r>
      <w:r w:rsidRPr="003D2124">
        <w:rPr>
          <w:rFonts w:ascii="Times New Roman" w:hAnsi="Times New Roman" w:cs="Times New Roman"/>
        </w:rPr>
        <w:t>失業者、低技能労働者および建設労働者が主にアイルランドとイギリスに移住（約</w:t>
      </w:r>
      <w:r w:rsidRPr="003D2124">
        <w:rPr>
          <w:rFonts w:ascii="Times New Roman" w:hAnsi="Times New Roman" w:cs="Times New Roman"/>
        </w:rPr>
        <w:t>11</w:t>
      </w:r>
      <w:r w:rsidRPr="003D2124">
        <w:rPr>
          <w:rFonts w:ascii="Times New Roman" w:hAnsi="Times New Roman" w:cs="Times New Roman"/>
        </w:rPr>
        <w:t>万人で人口の</w:t>
      </w:r>
      <w:r w:rsidRPr="003D2124">
        <w:rPr>
          <w:rFonts w:ascii="Times New Roman" w:hAnsi="Times New Roman" w:cs="Times New Roman"/>
        </w:rPr>
        <w:t>5%</w:t>
      </w:r>
      <w:r w:rsidRPr="003D2124">
        <w:rPr>
          <w:rFonts w:ascii="Times New Roman" w:hAnsi="Times New Roman" w:cs="Times New Roman"/>
        </w:rPr>
        <w:t>）</w:t>
      </w:r>
      <w:r>
        <w:rPr>
          <w:rFonts w:ascii="Times New Roman" w:hAnsi="Times New Roman" w:cs="Times New Roman" w:hint="eastAsia"/>
        </w:rPr>
        <w:t>。</w:t>
      </w:r>
      <w:r w:rsidRPr="003D2124">
        <w:rPr>
          <w:rFonts w:ascii="Times New Roman" w:hAnsi="Times New Roman" w:cs="Times New Roman"/>
        </w:rPr>
        <w:t>失業率</w:t>
      </w:r>
      <w:r>
        <w:rPr>
          <w:rFonts w:ascii="Times New Roman" w:hAnsi="Times New Roman" w:cs="Times New Roman" w:hint="eastAsia"/>
        </w:rPr>
        <w:t>は急速に</w:t>
      </w:r>
      <w:r w:rsidRPr="003D2124">
        <w:rPr>
          <w:rFonts w:ascii="Times New Roman" w:hAnsi="Times New Roman" w:cs="Times New Roman"/>
        </w:rPr>
        <w:t>低下</w:t>
      </w:r>
      <w:r>
        <w:rPr>
          <w:rFonts w:ascii="Times New Roman" w:hAnsi="Times New Roman" w:cs="Times New Roman" w:hint="eastAsia"/>
        </w:rPr>
        <w:t>し</w:t>
      </w:r>
      <w:r w:rsidRPr="003D2124">
        <w:rPr>
          <w:rFonts w:ascii="Times New Roman" w:hAnsi="Times New Roman" w:cs="Times New Roman"/>
        </w:rPr>
        <w:t>、</w:t>
      </w:r>
      <w:r>
        <w:rPr>
          <w:rFonts w:ascii="Times New Roman" w:hAnsi="Times New Roman" w:cs="Times New Roman" w:hint="eastAsia"/>
        </w:rPr>
        <w:t>2006</w:t>
      </w:r>
      <w:r>
        <w:rPr>
          <w:rFonts w:ascii="Times New Roman" w:hAnsi="Times New Roman" w:cs="Times New Roman" w:hint="eastAsia"/>
        </w:rPr>
        <w:t>年初めまでの</w:t>
      </w:r>
      <w:r>
        <w:rPr>
          <w:rFonts w:ascii="Times New Roman" w:hAnsi="Times New Roman" w:cs="Times New Roman" w:hint="eastAsia"/>
        </w:rPr>
        <w:t>2</w:t>
      </w:r>
      <w:r>
        <w:rPr>
          <w:rFonts w:ascii="Times New Roman" w:hAnsi="Times New Roman" w:cs="Times New Roman" w:hint="eastAsia"/>
        </w:rPr>
        <w:t>年間に失業率は</w:t>
      </w:r>
      <w:r>
        <w:rPr>
          <w:rFonts w:ascii="Times New Roman" w:hAnsi="Times New Roman" w:cs="Times New Roman" w:hint="eastAsia"/>
        </w:rPr>
        <w:t>2.5</w:t>
      </w:r>
      <w:r>
        <w:rPr>
          <w:rFonts w:ascii="Times New Roman" w:hAnsi="Times New Roman" w:cs="Times New Roman" w:hint="eastAsia"/>
        </w:rPr>
        <w:t>％下がって、</w:t>
      </w:r>
      <w:r>
        <w:rPr>
          <w:rFonts w:ascii="Times New Roman" w:hAnsi="Times New Roman" w:cs="Times New Roman" w:hint="eastAsia"/>
        </w:rPr>
        <w:t>7.75</w:t>
      </w:r>
      <w:r>
        <w:rPr>
          <w:rFonts w:ascii="Times New Roman" w:hAnsi="Times New Roman" w:cs="Times New Roman" w:hint="eastAsia"/>
        </w:rPr>
        <w:t>％になり、</w:t>
      </w:r>
      <w:r w:rsidRPr="003D2124">
        <w:rPr>
          <w:rFonts w:ascii="Times New Roman" w:hAnsi="Times New Roman" w:cs="Times New Roman"/>
        </w:rPr>
        <w:t>労働市場はかなり逼迫</w:t>
      </w:r>
      <w:r>
        <w:rPr>
          <w:rFonts w:ascii="Times New Roman" w:hAnsi="Times New Roman" w:cs="Times New Roman" w:hint="eastAsia"/>
        </w:rPr>
        <w:t>した</w:t>
      </w:r>
      <w:r w:rsidRPr="003D2124">
        <w:rPr>
          <w:rFonts w:ascii="Times New Roman" w:hAnsi="Times New Roman" w:cs="Times New Roman"/>
        </w:rPr>
        <w:t>。</w:t>
      </w:r>
      <w:r>
        <w:rPr>
          <w:rFonts w:ascii="Times New Roman" w:hAnsi="Times New Roman" w:cs="Times New Roman" w:hint="eastAsia"/>
        </w:rPr>
        <w:t>その結果、事実上の賃金インデクセーションと一緒に、名目賃金は</w:t>
      </w:r>
      <w:r>
        <w:rPr>
          <w:rFonts w:ascii="Times New Roman" w:hAnsi="Times New Roman" w:cs="Times New Roman" w:hint="eastAsia"/>
        </w:rPr>
        <w:t>2</w:t>
      </w:r>
      <w:r>
        <w:rPr>
          <w:rFonts w:ascii="Times New Roman" w:hAnsi="Times New Roman" w:cs="Times New Roman" w:hint="eastAsia"/>
        </w:rPr>
        <w:t>年間に加速的に上昇し、</w:t>
      </w:r>
      <w:r>
        <w:rPr>
          <w:rFonts w:ascii="Times New Roman" w:hAnsi="Times New Roman" w:cs="Times New Roman" w:hint="eastAsia"/>
        </w:rPr>
        <w:t>2006</w:t>
      </w:r>
      <w:r>
        <w:rPr>
          <w:rFonts w:ascii="Times New Roman" w:hAnsi="Times New Roman" w:cs="Times New Roman" w:hint="eastAsia"/>
        </w:rPr>
        <w:t>年第</w:t>
      </w:r>
      <w:r>
        <w:rPr>
          <w:rFonts w:ascii="Times New Roman" w:hAnsi="Times New Roman" w:cs="Times New Roman" w:hint="eastAsia"/>
        </w:rPr>
        <w:t>1</w:t>
      </w:r>
      <w:r>
        <w:rPr>
          <w:rFonts w:ascii="Times New Roman" w:hAnsi="Times New Roman" w:cs="Times New Roman" w:hint="eastAsia"/>
        </w:rPr>
        <w:t>四半期には対前年比</w:t>
      </w:r>
      <w:r>
        <w:rPr>
          <w:rFonts w:ascii="Times New Roman" w:hAnsi="Times New Roman" w:cs="Times New Roman" w:hint="eastAsia"/>
        </w:rPr>
        <w:t>19</w:t>
      </w:r>
      <w:r>
        <w:rPr>
          <w:rFonts w:ascii="Times New Roman" w:hAnsi="Times New Roman" w:cs="Times New Roman" w:hint="eastAsia"/>
        </w:rPr>
        <w:t>％以上の伸びを記録した。これは</w:t>
      </w:r>
      <w:r w:rsidRPr="003D2124">
        <w:rPr>
          <w:rFonts w:ascii="Times New Roman" w:hAnsi="Times New Roman" w:cs="Times New Roman"/>
        </w:rPr>
        <w:t>、生産性の伸びを</w:t>
      </w:r>
      <w:r>
        <w:rPr>
          <w:rFonts w:ascii="Times New Roman" w:hAnsi="Times New Roman" w:cs="Times New Roman" w:hint="eastAsia"/>
        </w:rPr>
        <w:t>大幅に</w:t>
      </w:r>
      <w:r w:rsidRPr="003D2124">
        <w:rPr>
          <w:rFonts w:ascii="Times New Roman" w:hAnsi="Times New Roman" w:cs="Times New Roman"/>
        </w:rPr>
        <w:t>上回る</w:t>
      </w:r>
      <w:r>
        <w:rPr>
          <w:rFonts w:ascii="Times New Roman" w:hAnsi="Times New Roman" w:cs="Times New Roman" w:hint="eastAsia"/>
        </w:rPr>
        <w:t>ものであった（</w:t>
      </w:r>
      <w:r>
        <w:rPr>
          <w:rFonts w:ascii="Times New Roman" w:hAnsi="Times New Roman" w:cs="Times New Roman" w:hint="eastAsia"/>
        </w:rPr>
        <w:t>IMF, 2006a, pp. 9-11</w:t>
      </w:r>
      <w:r>
        <w:rPr>
          <w:rFonts w:ascii="Times New Roman" w:hAnsi="Times New Roman" w:cs="Times New Roman" w:hint="eastAsia"/>
        </w:rPr>
        <w:t>）</w:t>
      </w:r>
      <w:r w:rsidRPr="003D2124">
        <w:rPr>
          <w:rFonts w:ascii="Times New Roman" w:hAnsi="Times New Roman" w:cs="Times New Roman"/>
        </w:rPr>
        <w:t>。</w:t>
      </w:r>
    </w:p>
    <w:p w:rsidR="00020407" w:rsidRPr="009D0D95" w:rsidRDefault="00020407" w:rsidP="00020407">
      <w:pPr>
        <w:rPr>
          <w:rFonts w:ascii="Times New Roman" w:hAnsi="Times New Roman" w:cs="Times New Roman"/>
        </w:rPr>
      </w:pPr>
    </w:p>
    <w:p w:rsidR="00020407" w:rsidRDefault="00020407" w:rsidP="00020407">
      <w:pPr>
        <w:rPr>
          <w:rFonts w:ascii="Times New Roman" w:hAnsi="Times New Roman" w:cs="Times New Roman"/>
        </w:rPr>
      </w:pPr>
      <w:r>
        <w:rPr>
          <w:rFonts w:hint="eastAsia"/>
          <w:noProof/>
        </w:rPr>
        <w:drawing>
          <wp:inline distT="0" distB="0" distL="0" distR="0">
            <wp:extent cx="4629150" cy="3257185"/>
            <wp:effectExtent l="0" t="0" r="0" b="635"/>
            <wp:docPr id="1" name="図 1" descr="koy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yam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31025" cy="3258504"/>
                    </a:xfrm>
                    <a:prstGeom prst="rect">
                      <a:avLst/>
                    </a:prstGeom>
                    <a:noFill/>
                    <a:ln>
                      <a:noFill/>
                    </a:ln>
                  </pic:spPr>
                </pic:pic>
              </a:graphicData>
            </a:graphic>
          </wp:inline>
        </w:drawing>
      </w:r>
    </w:p>
    <w:p w:rsidR="00E1323D" w:rsidRDefault="00E1323D" w:rsidP="00020407">
      <w:pPr>
        <w:ind w:firstLineChars="100" w:firstLine="210"/>
        <w:rPr>
          <w:rFonts w:ascii="Times New Roman" w:hAnsi="Times New Roman" w:cs="Times New Roman"/>
        </w:rPr>
      </w:pPr>
    </w:p>
    <w:p w:rsidR="00020407" w:rsidRDefault="00127D9B" w:rsidP="00020407">
      <w:pPr>
        <w:ind w:firstLineChars="100" w:firstLine="210"/>
        <w:rPr>
          <w:rFonts w:ascii="Times New Roman" w:hAnsi="Times New Roman" w:cs="Times New Roman"/>
        </w:rPr>
      </w:pPr>
      <w:r w:rsidRPr="003D2124">
        <w:rPr>
          <w:rFonts w:ascii="Times New Roman" w:hAnsi="Times New Roman" w:cs="Times New Roman"/>
        </w:rPr>
        <w:t>金融サービスの自由化により、北欧、とりわけスウェーデンの銀行が</w:t>
      </w:r>
      <w:r w:rsidR="006A78DA" w:rsidRPr="003D2124">
        <w:rPr>
          <w:rFonts w:ascii="Times New Roman" w:hAnsi="Times New Roman" w:cs="Times New Roman"/>
        </w:rPr>
        <w:t>バルト</w:t>
      </w:r>
      <w:r w:rsidR="006A78DA" w:rsidRPr="003D2124">
        <w:rPr>
          <w:rFonts w:ascii="Times New Roman" w:hAnsi="Times New Roman" w:cs="Times New Roman"/>
        </w:rPr>
        <w:t>3</w:t>
      </w:r>
      <w:r w:rsidR="006A78DA" w:rsidRPr="003D2124">
        <w:rPr>
          <w:rFonts w:ascii="Times New Roman" w:hAnsi="Times New Roman" w:cs="Times New Roman"/>
        </w:rPr>
        <w:t>国に</w:t>
      </w:r>
      <w:r w:rsidRPr="003D2124">
        <w:rPr>
          <w:rFonts w:ascii="Times New Roman" w:hAnsi="Times New Roman" w:cs="Times New Roman"/>
        </w:rPr>
        <w:t>進出</w:t>
      </w:r>
      <w:r w:rsidR="006A78DA" w:rsidRPr="003D2124">
        <w:rPr>
          <w:rFonts w:ascii="Times New Roman" w:hAnsi="Times New Roman" w:cs="Times New Roman"/>
        </w:rPr>
        <w:t>し</w:t>
      </w:r>
      <w:r w:rsidRPr="003D2124">
        <w:rPr>
          <w:rFonts w:ascii="Times New Roman" w:hAnsi="Times New Roman" w:cs="Times New Roman"/>
        </w:rPr>
        <w:t>、</w:t>
      </w:r>
      <w:r w:rsidR="006A78DA" w:rsidRPr="003D2124">
        <w:rPr>
          <w:rFonts w:ascii="Times New Roman" w:hAnsi="Times New Roman" w:cs="Times New Roman"/>
        </w:rPr>
        <w:t>それぞれが市場</w:t>
      </w:r>
      <w:r w:rsidRPr="003D2124">
        <w:rPr>
          <w:rFonts w:ascii="Times New Roman" w:hAnsi="Times New Roman" w:cs="Times New Roman"/>
        </w:rPr>
        <w:t>シェア</w:t>
      </w:r>
      <w:r w:rsidR="006A78DA" w:rsidRPr="003D2124">
        <w:rPr>
          <w:rFonts w:ascii="Times New Roman" w:hAnsi="Times New Roman" w:cs="Times New Roman"/>
        </w:rPr>
        <w:t>の</w:t>
      </w:r>
      <w:r w:rsidRPr="003D2124">
        <w:rPr>
          <w:rFonts w:ascii="Times New Roman" w:hAnsi="Times New Roman" w:cs="Times New Roman"/>
        </w:rPr>
        <w:t>拡大</w:t>
      </w:r>
      <w:r w:rsidR="00D65FE9">
        <w:rPr>
          <w:rFonts w:ascii="Times New Roman" w:hAnsi="Times New Roman" w:cs="Times New Roman" w:hint="eastAsia"/>
        </w:rPr>
        <w:t>競争を行った</w:t>
      </w:r>
      <w:r w:rsidR="00C27066">
        <w:rPr>
          <w:rFonts w:ascii="Times New Roman" w:hAnsi="Times New Roman" w:cs="Times New Roman" w:hint="eastAsia"/>
        </w:rPr>
        <w:t>（図</w:t>
      </w:r>
      <w:r w:rsidR="00C27066">
        <w:rPr>
          <w:rFonts w:ascii="Times New Roman" w:hAnsi="Times New Roman" w:cs="Times New Roman" w:hint="eastAsia"/>
        </w:rPr>
        <w:t>1</w:t>
      </w:r>
      <w:r w:rsidR="00C27066">
        <w:rPr>
          <w:rFonts w:ascii="Times New Roman" w:hAnsi="Times New Roman" w:cs="Times New Roman" w:hint="eastAsia"/>
        </w:rPr>
        <w:t>）</w:t>
      </w:r>
      <w:r w:rsidR="00D65FE9">
        <w:rPr>
          <w:rFonts w:ascii="Times New Roman" w:hAnsi="Times New Roman" w:cs="Times New Roman" w:hint="eastAsia"/>
        </w:rPr>
        <w:t>。対内</w:t>
      </w:r>
      <w:r w:rsidR="00D65FE9">
        <w:rPr>
          <w:rFonts w:ascii="Times New Roman" w:hAnsi="Times New Roman" w:cs="Times New Roman" w:hint="eastAsia"/>
        </w:rPr>
        <w:t>FDI</w:t>
      </w:r>
      <w:r w:rsidR="00D65FE9">
        <w:rPr>
          <w:rFonts w:ascii="Times New Roman" w:hAnsi="Times New Roman" w:cs="Times New Roman" w:hint="eastAsia"/>
        </w:rPr>
        <w:t>は比較的大きいが、毎年の経常収支はそれを大幅に上回った。国際収支表を見ると、ラトヴィアへのポートフォリオ投資（証券投資）の流入は小さい（</w:t>
      </w:r>
      <w:r w:rsidR="00D65FE9">
        <w:rPr>
          <w:rFonts w:ascii="Times New Roman" w:hAnsi="Times New Roman" w:cs="Times New Roman" w:hint="eastAsia"/>
        </w:rPr>
        <w:t>2007</w:t>
      </w:r>
      <w:r w:rsidR="00D65FE9">
        <w:rPr>
          <w:rFonts w:ascii="Times New Roman" w:hAnsi="Times New Roman" w:cs="Times New Roman" w:hint="eastAsia"/>
        </w:rPr>
        <w:t>年はマイナスを記録）。実は、金融勘定の中の「他の投資」（その実態は、圧倒的部分が外資系銀行の外国の親銀行からの借入れである）が対内</w:t>
      </w:r>
      <w:r w:rsidR="00D65FE9">
        <w:rPr>
          <w:rFonts w:ascii="Times New Roman" w:hAnsi="Times New Roman" w:cs="Times New Roman" w:hint="eastAsia"/>
        </w:rPr>
        <w:t>FDI</w:t>
      </w:r>
      <w:r w:rsidR="00D65FE9">
        <w:rPr>
          <w:rFonts w:ascii="Times New Roman" w:hAnsi="Times New Roman" w:cs="Times New Roman" w:hint="eastAsia"/>
        </w:rPr>
        <w:t>をはるかに上回っており、これが毎年の経常収支赤字の大部分をカバーしてきたのである（</w:t>
      </w:r>
      <w:proofErr w:type="spellStart"/>
      <w:r w:rsidR="00D65FE9">
        <w:rPr>
          <w:rFonts w:ascii="Times New Roman" w:hAnsi="Times New Roman" w:cs="Times New Roman" w:hint="eastAsia"/>
        </w:rPr>
        <w:t>Banincova</w:t>
      </w:r>
      <w:proofErr w:type="spellEnd"/>
      <w:r w:rsidR="00D65FE9">
        <w:rPr>
          <w:rFonts w:ascii="Times New Roman" w:hAnsi="Times New Roman" w:cs="Times New Roman" w:hint="eastAsia"/>
        </w:rPr>
        <w:t>, 20</w:t>
      </w:r>
      <w:r w:rsidR="007E2086">
        <w:rPr>
          <w:rFonts w:ascii="Times New Roman" w:hAnsi="Times New Roman" w:cs="Times New Roman" w:hint="eastAsia"/>
        </w:rPr>
        <w:t>10</w:t>
      </w:r>
      <w:r w:rsidR="00D65FE9">
        <w:rPr>
          <w:rFonts w:ascii="Times New Roman" w:hAnsi="Times New Roman" w:cs="Times New Roman" w:hint="eastAsia"/>
        </w:rPr>
        <w:t>）。近年、ヨーロッパの大手銀行は、資金源としての一般顧客の預金</w:t>
      </w:r>
      <w:r w:rsidR="00E00F45">
        <w:rPr>
          <w:rFonts w:ascii="Times New Roman" w:hAnsi="Times New Roman" w:cs="Times New Roman" w:hint="eastAsia"/>
        </w:rPr>
        <w:t>への依存度が低下したので、ますますホールセール市場で資金を調達するようになっている（星野、</w:t>
      </w:r>
      <w:r w:rsidR="00E00F45">
        <w:rPr>
          <w:rFonts w:ascii="Times New Roman" w:hAnsi="Times New Roman" w:cs="Times New Roman" w:hint="eastAsia"/>
        </w:rPr>
        <w:t>2009</w:t>
      </w:r>
      <w:r w:rsidR="00E00F45">
        <w:rPr>
          <w:rFonts w:ascii="Times New Roman" w:hAnsi="Times New Roman" w:cs="Times New Roman" w:hint="eastAsia"/>
        </w:rPr>
        <w:t>年）。スウェーデンの銀行も国際金融市場（たとえばロンドンの）でスウ</w:t>
      </w:r>
      <w:r w:rsidR="00E00F45">
        <w:rPr>
          <w:rFonts w:ascii="Times New Roman" w:hAnsi="Times New Roman" w:cs="Times New Roman" w:hint="eastAsia"/>
        </w:rPr>
        <w:lastRenderedPageBreak/>
        <w:t>ェーデン・クローナと引き換えに</w:t>
      </w:r>
      <w:r w:rsidR="00E00F45" w:rsidRPr="003D2124">
        <w:rPr>
          <w:rFonts w:ascii="Times New Roman" w:hAnsi="Times New Roman" w:cs="Times New Roman"/>
        </w:rPr>
        <w:t>ユーロを取り入れ、それでラトヴィアの顧客に（ラトヴィアの子銀行を通じて）融資</w:t>
      </w:r>
      <w:r w:rsidR="00E00F45">
        <w:rPr>
          <w:rFonts w:ascii="Times New Roman" w:hAnsi="Times New Roman" w:cs="Times New Roman" w:hint="eastAsia"/>
        </w:rPr>
        <w:t>した</w:t>
      </w:r>
      <w:r w:rsidR="00D239E4">
        <w:rPr>
          <w:rStyle w:val="ae"/>
          <w:rFonts w:ascii="Times New Roman" w:hAnsi="Times New Roman" w:cs="Times New Roman"/>
        </w:rPr>
        <w:footnoteReference w:id="5"/>
      </w:r>
      <w:r w:rsidR="00E00F45" w:rsidRPr="003D2124">
        <w:rPr>
          <w:rFonts w:ascii="Times New Roman" w:hAnsi="Times New Roman" w:cs="Times New Roman"/>
        </w:rPr>
        <w:t>。</w:t>
      </w:r>
      <w:r w:rsidR="00E00F45">
        <w:rPr>
          <w:rFonts w:ascii="Times New Roman" w:hAnsi="Times New Roman" w:cs="Times New Roman" w:hint="eastAsia"/>
        </w:rPr>
        <w:t>スウェーデンの銀行の対バルト</w:t>
      </w:r>
      <w:r w:rsidR="00E00F45">
        <w:rPr>
          <w:rFonts w:ascii="Times New Roman" w:hAnsi="Times New Roman" w:cs="Times New Roman" w:hint="eastAsia"/>
        </w:rPr>
        <w:t>3</w:t>
      </w:r>
      <w:r w:rsidR="00E00F45">
        <w:rPr>
          <w:rFonts w:ascii="Times New Roman" w:hAnsi="Times New Roman" w:cs="Times New Roman" w:hint="eastAsia"/>
        </w:rPr>
        <w:t>国戦略について、エストニアの学者は次のように</w:t>
      </w:r>
      <w:r w:rsidR="00690986">
        <w:rPr>
          <w:rFonts w:ascii="Times New Roman" w:hAnsi="Times New Roman" w:cs="Times New Roman" w:hint="eastAsia"/>
        </w:rPr>
        <w:t>述べている。</w:t>
      </w:r>
      <w:r w:rsidR="006A78DA" w:rsidRPr="003D2124">
        <w:rPr>
          <w:rFonts w:ascii="Times New Roman" w:hAnsi="Times New Roman" w:cs="Times New Roman"/>
        </w:rPr>
        <w:t>「攻勢的なビジネス戦略を選択し、名目金利やその他のローン条件を自分の本国市場におけるそれときわめて似たレベルに設定した」（</w:t>
      </w:r>
      <w:r w:rsidR="006A78DA" w:rsidRPr="003D2124">
        <w:rPr>
          <w:rFonts w:ascii="Times New Roman" w:hAnsi="Times New Roman" w:cs="Times New Roman"/>
        </w:rPr>
        <w:t xml:space="preserve">Hanson and </w:t>
      </w:r>
      <w:proofErr w:type="spellStart"/>
      <w:r w:rsidR="006A78DA" w:rsidRPr="003D2124">
        <w:rPr>
          <w:rFonts w:ascii="Times New Roman" w:hAnsi="Times New Roman" w:cs="Times New Roman"/>
        </w:rPr>
        <w:t>Randveer</w:t>
      </w:r>
      <w:proofErr w:type="spellEnd"/>
      <w:r w:rsidR="006A78DA" w:rsidRPr="003D2124">
        <w:rPr>
          <w:rFonts w:ascii="Times New Roman" w:hAnsi="Times New Roman" w:cs="Times New Roman"/>
        </w:rPr>
        <w:t>, 2013</w:t>
      </w:r>
      <w:r w:rsidR="006A78DA" w:rsidRPr="003D2124">
        <w:rPr>
          <w:rFonts w:ascii="Times New Roman" w:hAnsi="Times New Roman" w:cs="Times New Roman"/>
        </w:rPr>
        <w:t>）。</w:t>
      </w:r>
      <w:r w:rsidR="00690986">
        <w:rPr>
          <w:rFonts w:ascii="Times New Roman" w:hAnsi="Times New Roman" w:cs="Times New Roman" w:hint="eastAsia"/>
        </w:rPr>
        <w:t>こうして、ラトヴィアの家計と企業は比較的低い金利を享受できるようになった。民間セクター居住者への信用は</w:t>
      </w:r>
      <w:r w:rsidR="00690986">
        <w:rPr>
          <w:rFonts w:ascii="Times New Roman" w:hAnsi="Times New Roman" w:cs="Times New Roman" w:hint="eastAsia"/>
        </w:rPr>
        <w:t>2005</w:t>
      </w:r>
      <w:r w:rsidR="00690986">
        <w:rPr>
          <w:rFonts w:ascii="Times New Roman" w:hAnsi="Times New Roman" w:cs="Times New Roman" w:hint="eastAsia"/>
        </w:rPr>
        <w:t>年に</w:t>
      </w:r>
      <w:r w:rsidR="00690986">
        <w:rPr>
          <w:rFonts w:ascii="Times New Roman" w:hAnsi="Times New Roman" w:cs="Times New Roman" w:hint="eastAsia"/>
        </w:rPr>
        <w:t>65</w:t>
      </w:r>
      <w:r w:rsidR="00690986">
        <w:rPr>
          <w:rFonts w:ascii="Times New Roman" w:hAnsi="Times New Roman" w:cs="Times New Roman" w:hint="eastAsia"/>
        </w:rPr>
        <w:t>％近く増加し、ローンの対</w:t>
      </w:r>
      <w:r w:rsidR="00690986">
        <w:rPr>
          <w:rFonts w:ascii="Times New Roman" w:hAnsi="Times New Roman" w:cs="Times New Roman" w:hint="eastAsia"/>
        </w:rPr>
        <w:t>GDP</w:t>
      </w:r>
      <w:r w:rsidR="00690986">
        <w:rPr>
          <w:rFonts w:ascii="Times New Roman" w:hAnsi="Times New Roman" w:cs="Times New Roman" w:hint="eastAsia"/>
        </w:rPr>
        <w:t>比は</w:t>
      </w:r>
      <w:r w:rsidR="00690986">
        <w:rPr>
          <w:rFonts w:ascii="Times New Roman" w:hAnsi="Times New Roman" w:cs="Times New Roman" w:hint="eastAsia"/>
        </w:rPr>
        <w:t>70</w:t>
      </w:r>
      <w:r w:rsidR="00690986">
        <w:rPr>
          <w:rFonts w:ascii="Times New Roman" w:hAnsi="Times New Roman" w:cs="Times New Roman" w:hint="eastAsia"/>
        </w:rPr>
        <w:t>％になった。これは</w:t>
      </w:r>
      <w:r w:rsidR="00690986">
        <w:rPr>
          <w:rFonts w:ascii="Times New Roman" w:hAnsi="Times New Roman" w:cs="Times New Roman" w:hint="eastAsia"/>
        </w:rPr>
        <w:t>2000</w:t>
      </w:r>
      <w:r w:rsidR="00690986">
        <w:rPr>
          <w:rFonts w:ascii="Times New Roman" w:hAnsi="Times New Roman" w:cs="Times New Roman" w:hint="eastAsia"/>
        </w:rPr>
        <w:t>年のレベルの</w:t>
      </w:r>
      <w:r w:rsidR="00690986">
        <w:rPr>
          <w:rFonts w:ascii="Times New Roman" w:hAnsi="Times New Roman" w:cs="Times New Roman" w:hint="eastAsia"/>
        </w:rPr>
        <w:t>3</w:t>
      </w:r>
      <w:r w:rsidR="00690986">
        <w:rPr>
          <w:rFonts w:ascii="Times New Roman" w:hAnsi="Times New Roman" w:cs="Times New Roman" w:hint="eastAsia"/>
        </w:rPr>
        <w:t>倍で、</w:t>
      </w:r>
      <w:r w:rsidR="00690986">
        <w:rPr>
          <w:rFonts w:ascii="Times New Roman" w:hAnsi="Times New Roman" w:cs="Times New Roman" w:hint="eastAsia"/>
        </w:rPr>
        <w:t>EU-8</w:t>
      </w:r>
      <w:r w:rsidR="00690986">
        <w:rPr>
          <w:rFonts w:ascii="Times New Roman" w:hAnsi="Times New Roman" w:cs="Times New Roman" w:hint="eastAsia"/>
        </w:rPr>
        <w:t>の中で最高になった。家計の住宅ローンはますますユーロ建てになっていった（</w:t>
      </w:r>
      <w:r w:rsidR="00690986">
        <w:rPr>
          <w:rFonts w:ascii="Times New Roman" w:hAnsi="Times New Roman" w:cs="Times New Roman" w:hint="eastAsia"/>
        </w:rPr>
        <w:t>IMF, 2006a, p. 11</w:t>
      </w:r>
      <w:r w:rsidR="00690986">
        <w:rPr>
          <w:rFonts w:ascii="Times New Roman" w:hAnsi="Times New Roman" w:cs="Times New Roman" w:hint="eastAsia"/>
        </w:rPr>
        <w:t>）。不動産セクターがローン総額の半分近くを占めるに至った</w:t>
      </w:r>
      <w:r w:rsidR="00D239E4">
        <w:rPr>
          <w:rStyle w:val="ae"/>
          <w:rFonts w:ascii="Times New Roman" w:hAnsi="Times New Roman" w:cs="Times New Roman"/>
        </w:rPr>
        <w:footnoteReference w:id="6"/>
      </w:r>
      <w:r w:rsidR="00690986">
        <w:rPr>
          <w:rFonts w:ascii="Times New Roman" w:hAnsi="Times New Roman" w:cs="Times New Roman" w:hint="eastAsia"/>
        </w:rPr>
        <w:t>。</w:t>
      </w:r>
      <w:proofErr w:type="spellStart"/>
      <w:r w:rsidR="00690986">
        <w:rPr>
          <w:rFonts w:ascii="Times New Roman" w:hAnsi="Times New Roman" w:cs="Times New Roman" w:hint="eastAsia"/>
        </w:rPr>
        <w:t>UniCredit</w:t>
      </w:r>
      <w:proofErr w:type="spellEnd"/>
      <w:r w:rsidR="00690986">
        <w:rPr>
          <w:rFonts w:ascii="Times New Roman" w:hAnsi="Times New Roman" w:cs="Times New Roman" w:hint="eastAsia"/>
        </w:rPr>
        <w:t>グループの調査班は、</w:t>
      </w:r>
      <w:r w:rsidR="00EC0651" w:rsidRPr="003D2124">
        <w:rPr>
          <w:rFonts w:ascii="Times New Roman" w:hAnsi="Times New Roman" w:cs="Times New Roman"/>
        </w:rPr>
        <w:t>「高い消費の浮かれ騒ぎ」（</w:t>
      </w:r>
      <w:r w:rsidR="00EC0651" w:rsidRPr="004B2760">
        <w:rPr>
          <w:rFonts w:ascii="Times New Roman" w:hAnsi="Times New Roman" w:cs="Times New Roman"/>
          <w:i/>
        </w:rPr>
        <w:t>CEE Quarterly</w:t>
      </w:r>
      <w:r w:rsidR="00EC0651" w:rsidRPr="003D2124">
        <w:rPr>
          <w:rFonts w:ascii="Times New Roman" w:hAnsi="Times New Roman" w:cs="Times New Roman"/>
        </w:rPr>
        <w:t>, 03/2007</w:t>
      </w:r>
      <w:r w:rsidR="00EC0651" w:rsidRPr="003D2124">
        <w:rPr>
          <w:rFonts w:ascii="Times New Roman" w:hAnsi="Times New Roman" w:cs="Times New Roman"/>
        </w:rPr>
        <w:t>）</w:t>
      </w:r>
      <w:r w:rsidR="00690986">
        <w:rPr>
          <w:rFonts w:ascii="Times New Roman" w:hAnsi="Times New Roman" w:cs="Times New Roman" w:hint="eastAsia"/>
        </w:rPr>
        <w:t>と表現していた。</w:t>
      </w:r>
      <w:r w:rsidR="00690986">
        <w:rPr>
          <w:rFonts w:ascii="Times New Roman" w:hAnsi="Times New Roman" w:cs="Times New Roman" w:hint="eastAsia"/>
        </w:rPr>
        <w:t>2007</w:t>
      </w:r>
      <w:r w:rsidR="00690986">
        <w:rPr>
          <w:rFonts w:ascii="Times New Roman" w:hAnsi="Times New Roman" w:cs="Times New Roman" w:hint="eastAsia"/>
        </w:rPr>
        <w:t>年</w:t>
      </w:r>
      <w:r w:rsidR="00690986">
        <w:rPr>
          <w:rFonts w:ascii="Times New Roman" w:hAnsi="Times New Roman" w:cs="Times New Roman" w:hint="eastAsia"/>
        </w:rPr>
        <w:t>4</w:t>
      </w:r>
      <w:r w:rsidR="00690986">
        <w:rPr>
          <w:rFonts w:ascii="Times New Roman" w:hAnsi="Times New Roman" w:cs="Times New Roman" w:hint="eastAsia"/>
        </w:rPr>
        <w:t>月に訪問した</w:t>
      </w:r>
      <w:r w:rsidR="00690986">
        <w:rPr>
          <w:rFonts w:ascii="Times New Roman" w:hAnsi="Times New Roman" w:cs="Times New Roman" w:hint="eastAsia"/>
        </w:rPr>
        <w:t>IMF</w:t>
      </w:r>
      <w:r w:rsidR="00690986">
        <w:rPr>
          <w:rFonts w:ascii="Times New Roman" w:hAnsi="Times New Roman" w:cs="Times New Roman" w:hint="eastAsia"/>
        </w:rPr>
        <w:t>の使節団は、「いま買い、後で払う」という思考様式が定着し、システミック・リスクを高めているとラトヴィア政府に警告した。バルト海の対岸で見ていたスウェーデン人は次のように指摘した。</w:t>
      </w:r>
      <w:r w:rsidR="00E31C8E" w:rsidRPr="003D2124">
        <w:rPr>
          <w:rFonts w:ascii="Times New Roman" w:hAnsi="Times New Roman" w:cs="Times New Roman"/>
        </w:rPr>
        <w:t>「市場シェアをめぐる彼らの闘争はバルト諸国での前例のないほどの信用膨張を煽り、住宅等の資産価格が爆発したが、それだけでなく、贅沢な車のような大きな財の目だった消費の極端な急増－すべて安易な融資によって賄われた－を伴った」</w:t>
      </w:r>
      <w:r w:rsidR="007C10F3">
        <w:rPr>
          <w:rStyle w:val="ae"/>
          <w:rFonts w:ascii="Times New Roman" w:hAnsi="Times New Roman" w:cs="Times New Roman"/>
        </w:rPr>
        <w:footnoteReference w:id="7"/>
      </w:r>
      <w:r w:rsidR="00E31C8E" w:rsidRPr="003D2124">
        <w:rPr>
          <w:rFonts w:ascii="Times New Roman" w:hAnsi="Times New Roman" w:cs="Times New Roman"/>
        </w:rPr>
        <w:t>。</w:t>
      </w:r>
    </w:p>
    <w:p w:rsidR="00E471FE" w:rsidRDefault="00E471FE" w:rsidP="00E1323D">
      <w:pPr>
        <w:ind w:firstLineChars="100" w:firstLine="210"/>
        <w:rPr>
          <w:rFonts w:ascii="Times New Roman" w:hAnsi="Times New Roman" w:cs="Times New Roman"/>
        </w:rPr>
      </w:pPr>
      <w:r>
        <w:rPr>
          <w:rFonts w:ascii="Times New Roman" w:hAnsi="Times New Roman" w:cs="Times New Roman" w:hint="eastAsia"/>
        </w:rPr>
        <w:t>この国の</w:t>
      </w:r>
      <w:r w:rsidRPr="003D2124">
        <w:rPr>
          <w:rFonts w:ascii="Times New Roman" w:hAnsi="Times New Roman" w:cs="Times New Roman"/>
        </w:rPr>
        <w:t>財政</w:t>
      </w:r>
      <w:r>
        <w:rPr>
          <w:rFonts w:ascii="Times New Roman" w:hAnsi="Times New Roman" w:cs="Times New Roman" w:hint="eastAsia"/>
        </w:rPr>
        <w:t>政策</w:t>
      </w:r>
      <w:r w:rsidRPr="003D2124">
        <w:rPr>
          <w:rFonts w:ascii="Times New Roman" w:hAnsi="Times New Roman" w:cs="Times New Roman"/>
        </w:rPr>
        <w:t>は拡張的</w:t>
      </w:r>
      <w:r>
        <w:rPr>
          <w:rFonts w:ascii="Times New Roman" w:hAnsi="Times New Roman" w:cs="Times New Roman" w:hint="eastAsia"/>
        </w:rPr>
        <w:t>であった</w:t>
      </w:r>
      <w:r w:rsidRPr="003D2124">
        <w:rPr>
          <w:rFonts w:ascii="Times New Roman" w:hAnsi="Times New Roman" w:cs="Times New Roman"/>
        </w:rPr>
        <w:t>。加えて、毎年</w:t>
      </w:r>
      <w:r w:rsidRPr="003D2124">
        <w:rPr>
          <w:rFonts w:ascii="Times New Roman" w:hAnsi="Times New Roman" w:cs="Times New Roman"/>
        </w:rPr>
        <w:t>GDP</w:t>
      </w:r>
      <w:r w:rsidRPr="003D2124">
        <w:rPr>
          <w:rFonts w:ascii="Times New Roman" w:hAnsi="Times New Roman" w:cs="Times New Roman"/>
        </w:rPr>
        <w:t>の</w:t>
      </w:r>
      <w:r w:rsidRPr="003D2124">
        <w:rPr>
          <w:rFonts w:ascii="Times New Roman" w:hAnsi="Times New Roman" w:cs="Times New Roman"/>
        </w:rPr>
        <w:t>3</w:t>
      </w:r>
      <w:r w:rsidR="009D505B">
        <w:rPr>
          <w:rFonts w:ascii="Times New Roman" w:hAnsi="Times New Roman" w:cs="Times New Roman" w:hint="eastAsia"/>
        </w:rPr>
        <w:t>～</w:t>
      </w:r>
      <w:r w:rsidRPr="003D2124">
        <w:rPr>
          <w:rFonts w:ascii="Times New Roman" w:hAnsi="Times New Roman" w:cs="Times New Roman"/>
        </w:rPr>
        <w:t>4%</w:t>
      </w:r>
      <w:r w:rsidRPr="003D2124">
        <w:rPr>
          <w:rFonts w:ascii="Times New Roman" w:hAnsi="Times New Roman" w:cs="Times New Roman"/>
        </w:rPr>
        <w:t>に相当する</w:t>
      </w:r>
      <w:r w:rsidRPr="003D2124">
        <w:rPr>
          <w:rFonts w:ascii="Times New Roman" w:hAnsi="Times New Roman" w:cs="Times New Roman"/>
        </w:rPr>
        <w:t>EU</w:t>
      </w:r>
      <w:r w:rsidRPr="003D2124">
        <w:rPr>
          <w:rFonts w:ascii="Times New Roman" w:hAnsi="Times New Roman" w:cs="Times New Roman"/>
        </w:rPr>
        <w:t>のグラントの流入</w:t>
      </w:r>
      <w:r>
        <w:rPr>
          <w:rFonts w:ascii="Times New Roman" w:hAnsi="Times New Roman" w:cs="Times New Roman" w:hint="eastAsia"/>
        </w:rPr>
        <w:t>があった</w:t>
      </w:r>
      <w:r w:rsidRPr="003D2124">
        <w:rPr>
          <w:rFonts w:ascii="Times New Roman" w:hAnsi="Times New Roman" w:cs="Times New Roman"/>
        </w:rPr>
        <w:t>。</w:t>
      </w:r>
      <w:r>
        <w:rPr>
          <w:rFonts w:ascii="Times New Roman" w:hAnsi="Times New Roman" w:cs="Times New Roman" w:hint="eastAsia"/>
        </w:rPr>
        <w:t>この国の財政策は</w:t>
      </w:r>
      <w:proofErr w:type="spellStart"/>
      <w:r>
        <w:rPr>
          <w:rFonts w:ascii="Times New Roman" w:hAnsi="Times New Roman" w:cs="Times New Roman" w:hint="eastAsia"/>
        </w:rPr>
        <w:t>procyclical</w:t>
      </w:r>
      <w:proofErr w:type="spellEnd"/>
      <w:r>
        <w:rPr>
          <w:rFonts w:ascii="Times New Roman" w:hAnsi="Times New Roman" w:cs="Times New Roman" w:hint="eastAsia"/>
        </w:rPr>
        <w:t>でもあった。当時、ラトヴィア好景気により税収は自然増を記録したが、この自然増の部分を貯蓄せず、秋の補正予算で追加的な支出で消化することが常態化していた。</w:t>
      </w:r>
    </w:p>
    <w:p w:rsidR="00E471FE" w:rsidRDefault="00E471FE" w:rsidP="00E471FE">
      <w:pPr>
        <w:ind w:firstLineChars="100" w:firstLine="210"/>
        <w:rPr>
          <w:rFonts w:ascii="Times New Roman" w:hAnsi="Times New Roman" w:cs="Times New Roman"/>
        </w:rPr>
      </w:pPr>
      <w:r>
        <w:rPr>
          <w:rFonts w:ascii="Times New Roman" w:hAnsi="Times New Roman" w:cs="Times New Roman" w:hint="eastAsia"/>
        </w:rPr>
        <w:t>2006</w:t>
      </w:r>
      <w:r>
        <w:rPr>
          <w:rFonts w:ascii="Times New Roman" w:hAnsi="Times New Roman" w:cs="Times New Roman" w:hint="eastAsia"/>
        </w:rPr>
        <w:t>年の経済成長率は</w:t>
      </w:r>
      <w:r>
        <w:rPr>
          <w:rFonts w:ascii="Times New Roman" w:hAnsi="Times New Roman" w:cs="Times New Roman" w:hint="eastAsia"/>
        </w:rPr>
        <w:t>12.2</w:t>
      </w:r>
      <w:r>
        <w:rPr>
          <w:rFonts w:ascii="Times New Roman" w:hAnsi="Times New Roman" w:cs="Times New Roman" w:hint="eastAsia"/>
        </w:rPr>
        <w:t>％であった。</w:t>
      </w:r>
      <w:proofErr w:type="spellStart"/>
      <w:r>
        <w:rPr>
          <w:rFonts w:ascii="Times New Roman" w:hAnsi="Times New Roman" w:cs="Times New Roman" w:hint="eastAsia"/>
        </w:rPr>
        <w:t>UniCredit</w:t>
      </w:r>
      <w:proofErr w:type="spellEnd"/>
      <w:r>
        <w:rPr>
          <w:rFonts w:ascii="Times New Roman" w:hAnsi="Times New Roman" w:cs="Times New Roman" w:hint="eastAsia"/>
        </w:rPr>
        <w:t>グループの調査班は次のように見ていた</w:t>
      </w:r>
      <w:r>
        <w:rPr>
          <w:rStyle w:val="ae"/>
          <w:rFonts w:ascii="Times New Roman" w:hAnsi="Times New Roman" w:cs="Times New Roman"/>
        </w:rPr>
        <w:footnoteReference w:id="8"/>
      </w:r>
      <w:r>
        <w:rPr>
          <w:rFonts w:ascii="Times New Roman" w:hAnsi="Times New Roman" w:cs="Times New Roman" w:hint="eastAsia"/>
        </w:rPr>
        <w:t>。需要サイドでは、民間消費と資本形成が成長の主要なエンジンであった。他方、供給サイドでは、消費のニーズに奉仕するセクター、すなわち、商業、金融、ホテル・レストランおよび建設業が成長を主導した。製造業は平均よりも低い成長率で成長した。輸入は、輸出の</w:t>
      </w:r>
      <w:r>
        <w:rPr>
          <w:rFonts w:ascii="Times New Roman" w:hAnsi="Times New Roman" w:cs="Times New Roman" w:hint="eastAsia"/>
        </w:rPr>
        <w:t>2</w:t>
      </w:r>
      <w:r>
        <w:rPr>
          <w:rFonts w:ascii="Times New Roman" w:hAnsi="Times New Roman" w:cs="Times New Roman" w:hint="eastAsia"/>
        </w:rPr>
        <w:t>倍の速さで成長した（</w:t>
      </w:r>
      <w:r w:rsidRPr="004B2760">
        <w:rPr>
          <w:rFonts w:ascii="Times New Roman" w:hAnsi="Times New Roman" w:cs="Times New Roman" w:hint="eastAsia"/>
          <w:i/>
        </w:rPr>
        <w:t>CEE Quarterly</w:t>
      </w:r>
      <w:r>
        <w:rPr>
          <w:rFonts w:ascii="Times New Roman" w:hAnsi="Times New Roman" w:cs="Times New Roman" w:hint="eastAsia"/>
        </w:rPr>
        <w:t>, 01/2007</w:t>
      </w:r>
      <w:r>
        <w:rPr>
          <w:rFonts w:ascii="Times New Roman" w:hAnsi="Times New Roman" w:cs="Times New Roman" w:hint="eastAsia"/>
        </w:rPr>
        <w:t>）。</w:t>
      </w:r>
    </w:p>
    <w:p w:rsidR="00605516" w:rsidRDefault="00605516" w:rsidP="00E471FE">
      <w:pPr>
        <w:ind w:firstLineChars="100" w:firstLine="210"/>
        <w:rPr>
          <w:rFonts w:ascii="Times New Roman" w:hAnsi="Times New Roman" w:cs="Times New Roman"/>
        </w:rPr>
      </w:pPr>
      <w:r w:rsidRPr="003D2124">
        <w:rPr>
          <w:rFonts w:ascii="Times New Roman" w:hAnsi="Times New Roman" w:cs="Times New Roman"/>
        </w:rPr>
        <w:t>消費ブームと住宅バブルを反映して、インフレ率は上昇</w:t>
      </w:r>
      <w:r>
        <w:rPr>
          <w:rFonts w:ascii="Times New Roman" w:hAnsi="Times New Roman" w:cs="Times New Roman" w:hint="eastAsia"/>
        </w:rPr>
        <w:t>した</w:t>
      </w:r>
      <w:r w:rsidRPr="003D2124">
        <w:rPr>
          <w:rFonts w:ascii="Times New Roman" w:hAnsi="Times New Roman" w:cs="Times New Roman"/>
        </w:rPr>
        <w:t>。インフレ率は</w:t>
      </w:r>
      <w:r w:rsidRPr="003D2124">
        <w:rPr>
          <w:rFonts w:ascii="Times New Roman" w:hAnsi="Times New Roman" w:cs="Times New Roman"/>
        </w:rPr>
        <w:t>2003</w:t>
      </w:r>
      <w:r w:rsidRPr="003D2124">
        <w:rPr>
          <w:rFonts w:ascii="Times New Roman" w:hAnsi="Times New Roman" w:cs="Times New Roman"/>
        </w:rPr>
        <w:t>年までは</w:t>
      </w:r>
      <w:r w:rsidRPr="003D2124">
        <w:rPr>
          <w:rFonts w:ascii="Times New Roman" w:hAnsi="Times New Roman" w:cs="Times New Roman"/>
        </w:rPr>
        <w:t>1.4%</w:t>
      </w:r>
      <w:r w:rsidRPr="003D2124">
        <w:rPr>
          <w:rFonts w:ascii="Times New Roman" w:hAnsi="Times New Roman" w:cs="Times New Roman"/>
        </w:rPr>
        <w:t>～</w:t>
      </w:r>
      <w:r w:rsidRPr="003D2124">
        <w:rPr>
          <w:rFonts w:ascii="Times New Roman" w:hAnsi="Times New Roman" w:cs="Times New Roman"/>
        </w:rPr>
        <w:t>3.6</w:t>
      </w:r>
      <w:r w:rsidRPr="003D2124">
        <w:rPr>
          <w:rFonts w:ascii="Times New Roman" w:hAnsi="Times New Roman" w:cs="Times New Roman"/>
        </w:rPr>
        <w:t>％の間を推移していたが、</w:t>
      </w:r>
      <w:r w:rsidRPr="003D2124">
        <w:rPr>
          <w:rFonts w:ascii="Times New Roman" w:hAnsi="Times New Roman" w:cs="Times New Roman"/>
        </w:rPr>
        <w:t>2004</w:t>
      </w:r>
      <w:r w:rsidRPr="003D2124">
        <w:rPr>
          <w:rFonts w:ascii="Times New Roman" w:hAnsi="Times New Roman" w:cs="Times New Roman"/>
        </w:rPr>
        <w:t>年には</w:t>
      </w:r>
      <w:r w:rsidRPr="003D2124">
        <w:rPr>
          <w:rFonts w:ascii="Times New Roman" w:hAnsi="Times New Roman" w:cs="Times New Roman"/>
        </w:rPr>
        <w:t>7.3</w:t>
      </w:r>
      <w:r w:rsidRPr="003D2124">
        <w:rPr>
          <w:rFonts w:ascii="Times New Roman" w:hAnsi="Times New Roman" w:cs="Times New Roman"/>
        </w:rPr>
        <w:t>％に跳ね上がり、</w:t>
      </w:r>
      <w:r w:rsidRPr="003D2124">
        <w:rPr>
          <w:rFonts w:ascii="Times New Roman" w:hAnsi="Times New Roman" w:cs="Times New Roman"/>
        </w:rPr>
        <w:t>2005</w:t>
      </w:r>
      <w:r w:rsidRPr="003D2124">
        <w:rPr>
          <w:rFonts w:ascii="Times New Roman" w:hAnsi="Times New Roman" w:cs="Times New Roman"/>
        </w:rPr>
        <w:t>年に</w:t>
      </w:r>
      <w:r w:rsidRPr="003D2124">
        <w:rPr>
          <w:rFonts w:ascii="Times New Roman" w:hAnsi="Times New Roman" w:cs="Times New Roman"/>
        </w:rPr>
        <w:t>7.0</w:t>
      </w:r>
      <w:r w:rsidRPr="003D2124">
        <w:rPr>
          <w:rFonts w:ascii="Times New Roman" w:hAnsi="Times New Roman" w:cs="Times New Roman"/>
        </w:rPr>
        <w:t>％、</w:t>
      </w:r>
      <w:r w:rsidRPr="003D2124">
        <w:rPr>
          <w:rFonts w:ascii="Times New Roman" w:hAnsi="Times New Roman" w:cs="Times New Roman"/>
        </w:rPr>
        <w:t>2006</w:t>
      </w:r>
      <w:r w:rsidRPr="003D2124">
        <w:rPr>
          <w:rFonts w:ascii="Times New Roman" w:hAnsi="Times New Roman" w:cs="Times New Roman"/>
        </w:rPr>
        <w:t>年に</w:t>
      </w:r>
      <w:r w:rsidRPr="003D2124">
        <w:rPr>
          <w:rFonts w:ascii="Times New Roman" w:hAnsi="Times New Roman" w:cs="Times New Roman"/>
        </w:rPr>
        <w:t>6.8%</w:t>
      </w:r>
      <w:r w:rsidRPr="003D2124">
        <w:rPr>
          <w:rFonts w:ascii="Times New Roman" w:hAnsi="Times New Roman" w:cs="Times New Roman"/>
        </w:rPr>
        <w:t>を記録。</w:t>
      </w:r>
      <w:r w:rsidRPr="003D2124">
        <w:rPr>
          <w:rFonts w:ascii="Times New Roman" w:hAnsi="Times New Roman" w:cs="Times New Roman"/>
        </w:rPr>
        <w:t>2006</w:t>
      </w:r>
      <w:r w:rsidRPr="003D2124">
        <w:rPr>
          <w:rFonts w:ascii="Times New Roman" w:hAnsi="Times New Roman" w:cs="Times New Roman"/>
        </w:rPr>
        <w:t>年</w:t>
      </w:r>
      <w:r w:rsidRPr="003D2124">
        <w:rPr>
          <w:rFonts w:ascii="Times New Roman" w:hAnsi="Times New Roman" w:cs="Times New Roman"/>
        </w:rPr>
        <w:t>11</w:t>
      </w:r>
      <w:r w:rsidRPr="003D2124">
        <w:rPr>
          <w:rFonts w:ascii="Times New Roman" w:hAnsi="Times New Roman" w:cs="Times New Roman"/>
        </w:rPr>
        <w:t>月に中央銀行は再割引率を</w:t>
      </w:r>
      <w:r w:rsidRPr="003D2124">
        <w:rPr>
          <w:rFonts w:ascii="Times New Roman" w:hAnsi="Times New Roman" w:cs="Times New Roman"/>
        </w:rPr>
        <w:t>50</w:t>
      </w:r>
      <w:r w:rsidRPr="003D2124">
        <w:rPr>
          <w:rFonts w:ascii="Times New Roman" w:hAnsi="Times New Roman" w:cs="Times New Roman"/>
        </w:rPr>
        <w:t>ベーシス・ポイント引き上げて</w:t>
      </w:r>
      <w:r w:rsidRPr="003D2124">
        <w:rPr>
          <w:rFonts w:ascii="Times New Roman" w:hAnsi="Times New Roman" w:cs="Times New Roman"/>
        </w:rPr>
        <w:t>5</w:t>
      </w:r>
      <w:r w:rsidRPr="003D2124">
        <w:rPr>
          <w:rFonts w:ascii="Times New Roman" w:hAnsi="Times New Roman" w:cs="Times New Roman"/>
        </w:rPr>
        <w:t>％にしたが、それでもインフレ率よりも低く（実質的にはマイナスの利子率）、経済の過熱を抑えるにはまったく不十分</w:t>
      </w:r>
      <w:r>
        <w:rPr>
          <w:rFonts w:ascii="Times New Roman" w:hAnsi="Times New Roman" w:cs="Times New Roman" w:hint="eastAsia"/>
        </w:rPr>
        <w:t>であった</w:t>
      </w:r>
      <w:r w:rsidRPr="003D2124">
        <w:rPr>
          <w:rFonts w:ascii="Times New Roman" w:hAnsi="Times New Roman" w:cs="Times New Roman"/>
        </w:rPr>
        <w:t>。</w:t>
      </w:r>
      <w:r w:rsidRPr="003D2124">
        <w:rPr>
          <w:rFonts w:ascii="Times New Roman" w:hAnsi="Times New Roman" w:cs="Times New Roman"/>
        </w:rPr>
        <w:t>2004</w:t>
      </w:r>
      <w:r w:rsidRPr="003D2124">
        <w:rPr>
          <w:rFonts w:ascii="Times New Roman" w:hAnsi="Times New Roman" w:cs="Times New Roman"/>
        </w:rPr>
        <w:t>年に</w:t>
      </w:r>
      <w:r w:rsidRPr="003D2124">
        <w:rPr>
          <w:rFonts w:ascii="Times New Roman" w:hAnsi="Times New Roman" w:cs="Times New Roman"/>
        </w:rPr>
        <w:t>EU</w:t>
      </w:r>
      <w:r w:rsidRPr="003D2124">
        <w:rPr>
          <w:rFonts w:ascii="Times New Roman" w:hAnsi="Times New Roman" w:cs="Times New Roman"/>
        </w:rPr>
        <w:t>に加盟した頃、ラトヴィアは</w:t>
      </w:r>
      <w:r w:rsidRPr="003D2124">
        <w:rPr>
          <w:rFonts w:ascii="Times New Roman" w:hAnsi="Times New Roman" w:cs="Times New Roman"/>
        </w:rPr>
        <w:lastRenderedPageBreak/>
        <w:t>2008</w:t>
      </w:r>
      <w:r w:rsidRPr="003D2124">
        <w:rPr>
          <w:rFonts w:ascii="Times New Roman" w:hAnsi="Times New Roman" w:cs="Times New Roman"/>
        </w:rPr>
        <w:t>年にユーロ導入の目標を掲げており、欧州中央銀行（</w:t>
      </w:r>
      <w:r w:rsidRPr="003D2124">
        <w:rPr>
          <w:rFonts w:ascii="Times New Roman" w:hAnsi="Times New Roman" w:cs="Times New Roman"/>
        </w:rPr>
        <w:t>ECB</w:t>
      </w:r>
      <w:r w:rsidRPr="003D2124">
        <w:rPr>
          <w:rFonts w:ascii="Times New Roman" w:hAnsi="Times New Roman" w:cs="Times New Roman"/>
        </w:rPr>
        <w:t>）の利子率と大きくかけ離れた利子率を採用しにくかったという事情はあった。それに加えて、国民が低金利の外貨建てローンを自由に組めるとき、ラットでの借入れの金利を上げたとしてもまったく効果はないであろう。</w:t>
      </w:r>
    </w:p>
    <w:p w:rsidR="002225D9" w:rsidRDefault="00020407">
      <w:pPr>
        <w:rPr>
          <w:rFonts w:ascii="Times New Roman" w:hAnsi="Times New Roman" w:cs="Times New Roman"/>
        </w:rPr>
      </w:pPr>
      <w:r w:rsidRPr="003D2124">
        <w:rPr>
          <w:rFonts w:ascii="Times New Roman" w:hAnsi="Times New Roman" w:cs="Times New Roman"/>
        </w:rPr>
        <w:object w:dxaOrig="7191" w:dyaOrig="5399">
          <v:shape id="_x0000_i1026" type="#_x0000_t75" style="width:431.25pt;height:324pt" o:ole="">
            <v:imagedata r:id="rId12" o:title=""/>
          </v:shape>
          <o:OLEObject Type="Embed" ProgID="PowerPoint.Slide.12" ShapeID="_x0000_i1026" DrawAspect="Content" ObjectID="_1480151397" r:id="rId13"/>
        </w:object>
      </w:r>
      <w:r w:rsidR="00EC0651" w:rsidRPr="003D2124">
        <w:rPr>
          <w:rFonts w:ascii="Times New Roman" w:hAnsi="Times New Roman" w:cs="Times New Roman"/>
        </w:rPr>
        <w:t xml:space="preserve">　</w:t>
      </w:r>
    </w:p>
    <w:p w:rsidR="002225D9" w:rsidRPr="002225D9" w:rsidRDefault="002225D9">
      <w:pPr>
        <w:rPr>
          <w:rFonts w:ascii="Times New Roman" w:hAnsi="Times New Roman" w:cs="Times New Roman"/>
          <w:b/>
        </w:rPr>
      </w:pPr>
      <w:r w:rsidRPr="002225D9">
        <w:rPr>
          <w:rFonts w:ascii="Times New Roman" w:hAnsi="Times New Roman" w:cs="Times New Roman" w:hint="eastAsia"/>
          <w:b/>
        </w:rPr>
        <w:t>引締め政策への転換</w:t>
      </w:r>
    </w:p>
    <w:p w:rsidR="002225D9" w:rsidRDefault="002225D9">
      <w:pPr>
        <w:rPr>
          <w:rFonts w:ascii="Times New Roman" w:hAnsi="Times New Roman" w:cs="Times New Roman"/>
        </w:rPr>
      </w:pPr>
      <w:r>
        <w:rPr>
          <w:rFonts w:ascii="Times New Roman" w:hAnsi="Times New Roman" w:cs="Times New Roman" w:hint="eastAsia"/>
        </w:rPr>
        <w:t xml:space="preserve">　政府は楽天的であっても、外部の者はラトヴィア経済を大いに懸念していた。ユーロ採用の見通しが遠のいたのに、大幅な経常収支赤字と</w:t>
      </w:r>
      <w:r>
        <w:rPr>
          <w:rFonts w:ascii="Times New Roman" w:hAnsi="Times New Roman" w:cs="Times New Roman" w:hint="eastAsia"/>
        </w:rPr>
        <w:t>GDP</w:t>
      </w:r>
      <w:r>
        <w:rPr>
          <w:rFonts w:ascii="Times New Roman" w:hAnsi="Times New Roman" w:cs="Times New Roman" w:hint="eastAsia"/>
        </w:rPr>
        <w:t>の</w:t>
      </w:r>
      <w:r>
        <w:rPr>
          <w:rFonts w:ascii="Times New Roman" w:hAnsi="Times New Roman" w:cs="Times New Roman" w:hint="eastAsia"/>
        </w:rPr>
        <w:t>100</w:t>
      </w:r>
      <w:r>
        <w:rPr>
          <w:rFonts w:ascii="Times New Roman" w:hAnsi="Times New Roman" w:cs="Times New Roman" w:hint="eastAsia"/>
        </w:rPr>
        <w:t>％を超える対外債務を放置していたので、</w:t>
      </w:r>
      <w:r>
        <w:rPr>
          <w:rFonts w:ascii="Times New Roman" w:hAnsi="Times New Roman" w:cs="Times New Roman" w:hint="eastAsia"/>
        </w:rPr>
        <w:t>2007</w:t>
      </w:r>
      <w:r>
        <w:rPr>
          <w:rFonts w:ascii="Times New Roman" w:hAnsi="Times New Roman" w:cs="Times New Roman" w:hint="eastAsia"/>
        </w:rPr>
        <w:t>年</w:t>
      </w:r>
      <w:r>
        <w:rPr>
          <w:rFonts w:ascii="Times New Roman" w:hAnsi="Times New Roman" w:cs="Times New Roman" w:hint="eastAsia"/>
        </w:rPr>
        <w:t>2</w:t>
      </w:r>
      <w:r>
        <w:rPr>
          <w:rFonts w:ascii="Times New Roman" w:hAnsi="Times New Roman" w:cs="Times New Roman" w:hint="eastAsia"/>
        </w:rPr>
        <w:t>月、格付け会社</w:t>
      </w:r>
      <w:r>
        <w:rPr>
          <w:rFonts w:ascii="Times New Roman" w:hAnsi="Times New Roman" w:cs="Times New Roman" w:hint="eastAsia"/>
        </w:rPr>
        <w:t>S&amp;P</w:t>
      </w:r>
      <w:r>
        <w:rPr>
          <w:rFonts w:ascii="Times New Roman" w:hAnsi="Times New Roman" w:cs="Times New Roman" w:hint="eastAsia"/>
        </w:rPr>
        <w:t>は、ラトヴィアの信用格付けを</w:t>
      </w:r>
      <w:r>
        <w:rPr>
          <w:rFonts w:ascii="Times New Roman" w:hAnsi="Times New Roman" w:cs="Times New Roman" w:hint="eastAsia"/>
        </w:rPr>
        <w:t>stable</w:t>
      </w:r>
      <w:r>
        <w:rPr>
          <w:rFonts w:ascii="Times New Roman" w:hAnsi="Times New Roman" w:cs="Times New Roman" w:hint="eastAsia"/>
        </w:rPr>
        <w:t>から</w:t>
      </w:r>
      <w:r>
        <w:rPr>
          <w:rFonts w:ascii="Times New Roman" w:hAnsi="Times New Roman" w:cs="Times New Roman" w:hint="eastAsia"/>
        </w:rPr>
        <w:t>negative</w:t>
      </w:r>
      <w:r>
        <w:rPr>
          <w:rFonts w:ascii="Times New Roman" w:hAnsi="Times New Roman" w:cs="Times New Roman" w:hint="eastAsia"/>
        </w:rPr>
        <w:t>へと引き下げた。同年</w:t>
      </w:r>
      <w:r>
        <w:rPr>
          <w:rFonts w:ascii="Times New Roman" w:hAnsi="Times New Roman" w:cs="Times New Roman" w:hint="eastAsia"/>
        </w:rPr>
        <w:t>2</w:t>
      </w:r>
      <w:r>
        <w:rPr>
          <w:rFonts w:ascii="Times New Roman" w:hAnsi="Times New Roman" w:cs="Times New Roman" w:hint="eastAsia"/>
        </w:rPr>
        <w:t>月末から</w:t>
      </w:r>
      <w:r>
        <w:rPr>
          <w:rFonts w:ascii="Times New Roman" w:hAnsi="Times New Roman" w:cs="Times New Roman" w:hint="eastAsia"/>
        </w:rPr>
        <w:t>3</w:t>
      </w:r>
      <w:r>
        <w:rPr>
          <w:rFonts w:ascii="Times New Roman" w:hAnsi="Times New Roman" w:cs="Times New Roman" w:hint="eastAsia"/>
        </w:rPr>
        <w:t>月初めにかけて、通貨市場でラットは切り下げ圧力に晒され、中央銀行は数年ぶりに市場に介入せざるを得なかった。政府も重い腰を上げて、ようやく同年</w:t>
      </w:r>
      <w:r>
        <w:rPr>
          <w:rFonts w:ascii="Times New Roman" w:hAnsi="Times New Roman" w:cs="Times New Roman" w:hint="eastAsia"/>
        </w:rPr>
        <w:t>3</w:t>
      </w:r>
      <w:r>
        <w:rPr>
          <w:rFonts w:ascii="Times New Roman" w:hAnsi="Times New Roman" w:cs="Times New Roman" w:hint="eastAsia"/>
        </w:rPr>
        <w:t>月に総需要管理に積極的姿勢を見せ、大急ぎで次のようなインフレ抑制措置を打ち出した。（ⅰ）財政支出の抑制、（ⅱ）保有して</w:t>
      </w:r>
      <w:r>
        <w:rPr>
          <w:rFonts w:ascii="Times New Roman" w:hAnsi="Times New Roman" w:cs="Times New Roman" w:hint="eastAsia"/>
        </w:rPr>
        <w:t>3</w:t>
      </w:r>
      <w:r>
        <w:rPr>
          <w:rFonts w:ascii="Times New Roman" w:hAnsi="Times New Roman" w:cs="Times New Roman" w:hint="eastAsia"/>
        </w:rPr>
        <w:t>年未満の不動産の売却に対してキャピタル・ゲイン税を課すと共に</w:t>
      </w:r>
      <w:r w:rsidR="004E23BC">
        <w:rPr>
          <w:rFonts w:ascii="Times New Roman" w:hAnsi="Times New Roman" w:cs="Times New Roman" w:hint="eastAsia"/>
        </w:rPr>
        <w:t>不動産登録税を引き上げる、（ⅲ）借り手の合法的に申告した所得に基づいてローンを審査する、（ⅳ）不動産購入価格に占める借入金の割合の上限（</w:t>
      </w:r>
      <w:r w:rsidR="004E23BC">
        <w:rPr>
          <w:rFonts w:ascii="Times New Roman" w:hAnsi="Times New Roman" w:cs="Times New Roman" w:hint="eastAsia"/>
        </w:rPr>
        <w:t>max loan to value ratio</w:t>
      </w:r>
      <w:r w:rsidR="004E23BC">
        <w:rPr>
          <w:rFonts w:ascii="Times New Roman" w:hAnsi="Times New Roman" w:cs="Times New Roman" w:hint="eastAsia"/>
        </w:rPr>
        <w:t>）を設定する（</w:t>
      </w:r>
      <w:r w:rsidR="004E23BC">
        <w:rPr>
          <w:rFonts w:ascii="Times New Roman" w:hAnsi="Times New Roman" w:cs="Times New Roman" w:hint="eastAsia"/>
        </w:rPr>
        <w:t>EEM, May 2007</w:t>
      </w:r>
      <w:r w:rsidR="004E23BC">
        <w:rPr>
          <w:rFonts w:ascii="Times New Roman" w:hAnsi="Times New Roman" w:cs="Times New Roman" w:hint="eastAsia"/>
        </w:rPr>
        <w:t>）。ただし、議会の承認を得たのは</w:t>
      </w:r>
      <w:r w:rsidR="004E23BC">
        <w:rPr>
          <w:rFonts w:ascii="Times New Roman" w:hAnsi="Times New Roman" w:cs="Times New Roman" w:hint="eastAsia"/>
        </w:rPr>
        <w:t>7</w:t>
      </w:r>
      <w:r w:rsidR="004E23BC">
        <w:rPr>
          <w:rFonts w:ascii="Times New Roman" w:hAnsi="Times New Roman" w:cs="Times New Roman" w:hint="eastAsia"/>
        </w:rPr>
        <w:t>月</w:t>
      </w:r>
      <w:r w:rsidR="00BD0509">
        <w:rPr>
          <w:rFonts w:ascii="Times New Roman" w:hAnsi="Times New Roman" w:cs="Times New Roman" w:hint="eastAsia"/>
        </w:rPr>
        <w:t>のことであった。</w:t>
      </w:r>
      <w:r w:rsidR="004E23BC">
        <w:rPr>
          <w:rFonts w:ascii="Times New Roman" w:hAnsi="Times New Roman" w:cs="Times New Roman" w:hint="eastAsia"/>
        </w:rPr>
        <w:t>中央銀行は同年</w:t>
      </w:r>
      <w:r w:rsidR="004E23BC">
        <w:rPr>
          <w:rFonts w:ascii="Times New Roman" w:hAnsi="Times New Roman" w:cs="Times New Roman" w:hint="eastAsia"/>
        </w:rPr>
        <w:t>3</w:t>
      </w:r>
      <w:r w:rsidR="004E23BC">
        <w:rPr>
          <w:rFonts w:ascii="Times New Roman" w:hAnsi="Times New Roman" w:cs="Times New Roman" w:hint="eastAsia"/>
        </w:rPr>
        <w:t>月から</w:t>
      </w:r>
      <w:r w:rsidR="004E23BC">
        <w:rPr>
          <w:rFonts w:ascii="Times New Roman" w:hAnsi="Times New Roman" w:cs="Times New Roman" w:hint="eastAsia"/>
        </w:rPr>
        <w:t>5</w:t>
      </w:r>
      <w:r w:rsidR="004E23BC">
        <w:rPr>
          <w:rFonts w:ascii="Times New Roman" w:hAnsi="Times New Roman" w:cs="Times New Roman" w:hint="eastAsia"/>
        </w:rPr>
        <w:t>月にかけて</w:t>
      </w:r>
      <w:r w:rsidR="004E23BC">
        <w:rPr>
          <w:rFonts w:ascii="Times New Roman" w:hAnsi="Times New Roman" w:cs="Times New Roman" w:hint="eastAsia"/>
        </w:rPr>
        <w:t>2</w:t>
      </w:r>
      <w:r w:rsidR="004E23BC">
        <w:rPr>
          <w:rFonts w:ascii="Times New Roman" w:hAnsi="Times New Roman" w:cs="Times New Roman" w:hint="eastAsia"/>
        </w:rPr>
        <w:t>回の金利引き上げを</w:t>
      </w:r>
      <w:r w:rsidR="004E23BC">
        <w:rPr>
          <w:rFonts w:ascii="Times New Roman" w:hAnsi="Times New Roman" w:cs="Times New Roman" w:hint="eastAsia"/>
        </w:rPr>
        <w:lastRenderedPageBreak/>
        <w:t>行い、再割引率は</w:t>
      </w:r>
      <w:r w:rsidR="004E23BC">
        <w:rPr>
          <w:rFonts w:ascii="Times New Roman" w:hAnsi="Times New Roman" w:cs="Times New Roman" w:hint="eastAsia"/>
        </w:rPr>
        <w:t>5.0</w:t>
      </w:r>
      <w:r w:rsidR="004E23BC">
        <w:rPr>
          <w:rFonts w:ascii="Times New Roman" w:hAnsi="Times New Roman" w:cs="Times New Roman" w:hint="eastAsia"/>
        </w:rPr>
        <w:t>％から</w:t>
      </w:r>
      <w:r w:rsidR="004E23BC">
        <w:rPr>
          <w:rFonts w:ascii="Times New Roman" w:hAnsi="Times New Roman" w:cs="Times New Roman" w:hint="eastAsia"/>
        </w:rPr>
        <w:t>6.0</w:t>
      </w:r>
      <w:r w:rsidR="004E23BC">
        <w:rPr>
          <w:rFonts w:ascii="Times New Roman" w:hAnsi="Times New Roman" w:cs="Times New Roman" w:hint="eastAsia"/>
        </w:rPr>
        <w:t>％になった。それにより、住宅ローンの金利は</w:t>
      </w:r>
      <w:r w:rsidR="004E23BC">
        <w:rPr>
          <w:rFonts w:ascii="Times New Roman" w:hAnsi="Times New Roman" w:cs="Times New Roman" w:hint="eastAsia"/>
        </w:rPr>
        <w:t>2005</w:t>
      </w:r>
      <w:r w:rsidR="004E23BC">
        <w:rPr>
          <w:rFonts w:ascii="Times New Roman" w:hAnsi="Times New Roman" w:cs="Times New Roman" w:hint="eastAsia"/>
        </w:rPr>
        <w:t>年以来</w:t>
      </w:r>
      <w:r w:rsidR="004E23BC">
        <w:rPr>
          <w:rFonts w:ascii="Times New Roman" w:hAnsi="Times New Roman" w:cs="Times New Roman" w:hint="eastAsia"/>
        </w:rPr>
        <w:t>100</w:t>
      </w:r>
      <w:r w:rsidR="004E23BC">
        <w:rPr>
          <w:rFonts w:ascii="Times New Roman" w:hAnsi="Times New Roman" w:cs="Times New Roman" w:hint="eastAsia"/>
        </w:rPr>
        <w:t>ベーシス・ポイント上昇して、ユーロ建てで</w:t>
      </w:r>
      <w:r w:rsidR="004E23BC">
        <w:rPr>
          <w:rFonts w:ascii="Times New Roman" w:hAnsi="Times New Roman" w:cs="Times New Roman" w:hint="eastAsia"/>
        </w:rPr>
        <w:t>5.7</w:t>
      </w:r>
      <w:r w:rsidR="004E23BC">
        <w:rPr>
          <w:rFonts w:ascii="Times New Roman" w:hAnsi="Times New Roman" w:cs="Times New Roman" w:hint="eastAsia"/>
        </w:rPr>
        <w:t>％、ラット建てで</w:t>
      </w:r>
      <w:r w:rsidR="004E23BC">
        <w:rPr>
          <w:rFonts w:ascii="Times New Roman" w:hAnsi="Times New Roman" w:cs="Times New Roman" w:hint="eastAsia"/>
        </w:rPr>
        <w:t>7</w:t>
      </w:r>
      <w:r w:rsidR="004E23BC">
        <w:rPr>
          <w:rFonts w:ascii="Times New Roman" w:hAnsi="Times New Roman" w:cs="Times New Roman" w:hint="eastAsia"/>
        </w:rPr>
        <w:t>％になった（</w:t>
      </w:r>
      <w:r w:rsidR="004E23BC" w:rsidRPr="004B2760">
        <w:rPr>
          <w:rFonts w:ascii="Times New Roman" w:hAnsi="Times New Roman" w:cs="Times New Roman" w:hint="eastAsia"/>
          <w:i/>
        </w:rPr>
        <w:t>EEM</w:t>
      </w:r>
      <w:r w:rsidR="004E23BC">
        <w:rPr>
          <w:rFonts w:ascii="Times New Roman" w:hAnsi="Times New Roman" w:cs="Times New Roman" w:hint="eastAsia"/>
        </w:rPr>
        <w:t>, July 2007</w:t>
      </w:r>
      <w:r w:rsidR="004E23BC">
        <w:rPr>
          <w:rFonts w:ascii="Times New Roman" w:hAnsi="Times New Roman" w:cs="Times New Roman" w:hint="eastAsia"/>
        </w:rPr>
        <w:t>）。</w:t>
      </w:r>
    </w:p>
    <w:p w:rsidR="00BD0509" w:rsidRDefault="00BD0509">
      <w:pPr>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hint="eastAsia"/>
        </w:rPr>
        <w:t>7</w:t>
      </w:r>
      <w:r>
        <w:rPr>
          <w:rFonts w:ascii="Times New Roman" w:hAnsi="Times New Roman" w:cs="Times New Roman" w:hint="eastAsia"/>
        </w:rPr>
        <w:t>月に導入された政府の措置は秋になって徐々に効きだした。資産価格低下し始め、</w:t>
      </w:r>
      <w:r>
        <w:rPr>
          <w:rFonts w:ascii="Times New Roman" w:hAnsi="Times New Roman" w:cs="Times New Roman" w:hint="eastAsia"/>
        </w:rPr>
        <w:t>10</w:t>
      </w:r>
      <w:r>
        <w:rPr>
          <w:rFonts w:ascii="Times New Roman" w:hAnsi="Times New Roman" w:cs="Times New Roman" w:hint="eastAsia"/>
        </w:rPr>
        <w:t>月には同年</w:t>
      </w:r>
      <w:r>
        <w:rPr>
          <w:rFonts w:ascii="Times New Roman" w:hAnsi="Times New Roman" w:cs="Times New Roman" w:hint="eastAsia"/>
        </w:rPr>
        <w:t>1</w:t>
      </w:r>
      <w:r>
        <w:rPr>
          <w:rFonts w:ascii="Times New Roman" w:hAnsi="Times New Roman" w:cs="Times New Roman" w:hint="eastAsia"/>
        </w:rPr>
        <w:t>月と比べて約</w:t>
      </w:r>
      <w:r>
        <w:rPr>
          <w:rFonts w:ascii="Times New Roman" w:hAnsi="Times New Roman" w:cs="Times New Roman" w:hint="eastAsia"/>
        </w:rPr>
        <w:t>12</w:t>
      </w:r>
      <w:r>
        <w:rPr>
          <w:rFonts w:ascii="Times New Roman" w:hAnsi="Times New Roman" w:cs="Times New Roman" w:hint="eastAsia"/>
        </w:rPr>
        <w:t>％低下した。第</w:t>
      </w:r>
      <w:r>
        <w:rPr>
          <w:rFonts w:ascii="Times New Roman" w:hAnsi="Times New Roman" w:cs="Times New Roman" w:hint="eastAsia"/>
        </w:rPr>
        <w:t>2</w:t>
      </w:r>
      <w:r>
        <w:rPr>
          <w:rFonts w:ascii="Times New Roman" w:hAnsi="Times New Roman" w:cs="Times New Roman" w:hint="eastAsia"/>
        </w:rPr>
        <w:t>次市場での住宅販売の数は低下し始め、負の資産効果を強め、消費者のムードに影響し始めた（</w:t>
      </w:r>
      <w:r>
        <w:rPr>
          <w:rFonts w:ascii="Times New Roman" w:hAnsi="Times New Roman" w:cs="Times New Roman" w:hint="eastAsia"/>
        </w:rPr>
        <w:t>EEM, January 2008</w:t>
      </w:r>
      <w:r>
        <w:rPr>
          <w:rFonts w:ascii="Times New Roman" w:hAnsi="Times New Roman" w:cs="Times New Roman" w:hint="eastAsia"/>
        </w:rPr>
        <w:t>）。</w:t>
      </w:r>
      <w:r>
        <w:rPr>
          <w:rFonts w:ascii="Times New Roman" w:hAnsi="Times New Roman" w:cs="Times New Roman" w:hint="eastAsia"/>
        </w:rPr>
        <w:t>2007</w:t>
      </w:r>
      <w:r>
        <w:rPr>
          <w:rFonts w:ascii="Times New Roman" w:hAnsi="Times New Roman" w:cs="Times New Roman" w:hint="eastAsia"/>
        </w:rPr>
        <w:t>年</w:t>
      </w:r>
      <w:r>
        <w:rPr>
          <w:rFonts w:ascii="Times New Roman" w:hAnsi="Times New Roman" w:cs="Times New Roman" w:hint="eastAsia"/>
        </w:rPr>
        <w:t>8</w:t>
      </w:r>
      <w:r>
        <w:rPr>
          <w:rFonts w:ascii="Times New Roman" w:hAnsi="Times New Roman" w:cs="Times New Roman" w:hint="eastAsia"/>
        </w:rPr>
        <w:t>月に起きた</w:t>
      </w:r>
      <w:r>
        <w:rPr>
          <w:rFonts w:ascii="Times New Roman" w:hAnsi="Times New Roman" w:cs="Times New Roman" w:hint="eastAsia"/>
        </w:rPr>
        <w:t>BNP</w:t>
      </w:r>
      <w:r>
        <w:rPr>
          <w:rFonts w:ascii="Times New Roman" w:hAnsi="Times New Roman" w:cs="Times New Roman" w:hint="eastAsia"/>
        </w:rPr>
        <w:t>パリバ・ショックも銀行間市場での資金調達コストを高め、銀行の融資活動を慎重にさせた（田中、</w:t>
      </w:r>
      <w:r w:rsidR="009D19BF">
        <w:rPr>
          <w:rFonts w:ascii="Times New Roman" w:hAnsi="Times New Roman" w:cs="Times New Roman" w:hint="eastAsia"/>
        </w:rPr>
        <w:t>2009</w:t>
      </w:r>
      <w:r>
        <w:rPr>
          <w:rFonts w:ascii="Times New Roman" w:hAnsi="Times New Roman" w:cs="Times New Roman" w:hint="eastAsia"/>
        </w:rPr>
        <w:t>）。</w:t>
      </w:r>
      <w:r w:rsidR="009D19BF">
        <w:rPr>
          <w:rFonts w:ascii="Times New Roman" w:hAnsi="Times New Roman" w:cs="Times New Roman" w:hint="eastAsia"/>
        </w:rPr>
        <w:t>2007</w:t>
      </w:r>
      <w:r w:rsidR="009D19BF">
        <w:rPr>
          <w:rFonts w:ascii="Times New Roman" w:hAnsi="Times New Roman" w:cs="Times New Roman" w:hint="eastAsia"/>
        </w:rPr>
        <w:t>年第</w:t>
      </w:r>
      <w:r w:rsidR="009D19BF">
        <w:rPr>
          <w:rFonts w:ascii="Times New Roman" w:hAnsi="Times New Roman" w:cs="Times New Roman" w:hint="eastAsia"/>
        </w:rPr>
        <w:t>4</w:t>
      </w:r>
      <w:r w:rsidR="009D19BF">
        <w:rPr>
          <w:rFonts w:ascii="Times New Roman" w:hAnsi="Times New Roman" w:cs="Times New Roman" w:hint="eastAsia"/>
        </w:rPr>
        <w:t>四半期には、実質</w:t>
      </w:r>
      <w:r w:rsidR="009D19BF">
        <w:rPr>
          <w:rFonts w:ascii="Times New Roman" w:hAnsi="Times New Roman" w:cs="Times New Roman" w:hint="eastAsia"/>
        </w:rPr>
        <w:t>GDP</w:t>
      </w:r>
      <w:r w:rsidR="009D19BF">
        <w:rPr>
          <w:rFonts w:ascii="Times New Roman" w:hAnsi="Times New Roman" w:cs="Times New Roman" w:hint="eastAsia"/>
        </w:rPr>
        <w:t>の成長率は</w:t>
      </w:r>
      <w:r w:rsidR="009D19BF">
        <w:rPr>
          <w:rFonts w:ascii="Times New Roman" w:hAnsi="Times New Roman" w:cs="Times New Roman" w:hint="eastAsia"/>
        </w:rPr>
        <w:t>9.6</w:t>
      </w:r>
      <w:r w:rsidR="009D19BF">
        <w:rPr>
          <w:rFonts w:ascii="Times New Roman" w:hAnsi="Times New Roman" w:cs="Times New Roman" w:hint="eastAsia"/>
        </w:rPr>
        <w:t>％へと低下し、加熱した経済は勢いを失い始めた。同年</w:t>
      </w:r>
      <w:r w:rsidR="009D19BF">
        <w:rPr>
          <w:rFonts w:ascii="Times New Roman" w:hAnsi="Times New Roman" w:cs="Times New Roman" w:hint="eastAsia"/>
        </w:rPr>
        <w:t>12</w:t>
      </w:r>
      <w:r w:rsidR="009D19BF">
        <w:rPr>
          <w:rFonts w:ascii="Times New Roman" w:hAnsi="Times New Roman" w:cs="Times New Roman" w:hint="eastAsia"/>
        </w:rPr>
        <w:t>月には小売売上高の増加率は前年比</w:t>
      </w:r>
      <w:r w:rsidR="009D19BF">
        <w:rPr>
          <w:rFonts w:ascii="Times New Roman" w:hAnsi="Times New Roman" w:cs="Times New Roman" w:hint="eastAsia"/>
        </w:rPr>
        <w:t>1.7</w:t>
      </w:r>
      <w:r w:rsidR="009D19BF">
        <w:rPr>
          <w:rFonts w:ascii="Times New Roman" w:hAnsi="Times New Roman" w:cs="Times New Roman" w:hint="eastAsia"/>
        </w:rPr>
        <w:t>％という</w:t>
      </w:r>
      <w:r w:rsidR="009D19BF">
        <w:rPr>
          <w:rFonts w:ascii="Times New Roman" w:hAnsi="Times New Roman" w:cs="Times New Roman" w:hint="eastAsia"/>
        </w:rPr>
        <w:t>6</w:t>
      </w:r>
      <w:r w:rsidR="009D19BF">
        <w:rPr>
          <w:rFonts w:ascii="Times New Roman" w:hAnsi="Times New Roman" w:cs="Times New Roman" w:hint="eastAsia"/>
        </w:rPr>
        <w:t>年ぶりの低さに落ち込み、工業生産は</w:t>
      </w:r>
      <w:r w:rsidR="009D19BF">
        <w:rPr>
          <w:rFonts w:ascii="Times New Roman" w:hAnsi="Times New Roman" w:cs="Times New Roman" w:hint="eastAsia"/>
        </w:rPr>
        <w:t>3</w:t>
      </w:r>
      <w:r w:rsidR="009D19BF">
        <w:rPr>
          <w:rFonts w:ascii="Times New Roman" w:hAnsi="Times New Roman" w:cs="Times New Roman" w:hint="eastAsia"/>
        </w:rPr>
        <w:t>カ月連続でマイナス成長を記録した（</w:t>
      </w:r>
      <w:r w:rsidR="009D19BF">
        <w:rPr>
          <w:rFonts w:ascii="Times New Roman" w:hAnsi="Times New Roman" w:cs="Times New Roman" w:hint="eastAsia"/>
        </w:rPr>
        <w:t>EEM, April 2008</w:t>
      </w:r>
      <w:r w:rsidR="009D19BF">
        <w:rPr>
          <w:rFonts w:ascii="Times New Roman" w:hAnsi="Times New Roman" w:cs="Times New Roman" w:hint="eastAsia"/>
        </w:rPr>
        <w:t>）。</w:t>
      </w:r>
    </w:p>
    <w:p w:rsidR="009D19BF" w:rsidRDefault="009D19BF">
      <w:pPr>
        <w:rPr>
          <w:rFonts w:ascii="Times New Roman" w:hAnsi="Times New Roman" w:cs="Times New Roman"/>
        </w:rPr>
      </w:pPr>
      <w:r>
        <w:rPr>
          <w:rFonts w:ascii="Times New Roman" w:hAnsi="Times New Roman" w:cs="Times New Roman" w:hint="eastAsia"/>
        </w:rPr>
        <w:t xml:space="preserve">　こうして、ラトヴィア経済はハード・ランディングした。住宅市場バブルは破裂した。首都のリガでは、</w:t>
      </w:r>
      <w:r>
        <w:rPr>
          <w:rFonts w:ascii="Times New Roman" w:hAnsi="Times New Roman" w:cs="Times New Roman" w:hint="eastAsia"/>
        </w:rPr>
        <w:t>2008</w:t>
      </w:r>
      <w:r>
        <w:rPr>
          <w:rFonts w:ascii="Times New Roman" w:hAnsi="Times New Roman" w:cs="Times New Roman" w:hint="eastAsia"/>
        </w:rPr>
        <w:t>年</w:t>
      </w:r>
      <w:r>
        <w:rPr>
          <w:rFonts w:ascii="Times New Roman" w:hAnsi="Times New Roman" w:cs="Times New Roman" w:hint="eastAsia"/>
        </w:rPr>
        <w:t>6</w:t>
      </w:r>
      <w:r>
        <w:rPr>
          <w:rFonts w:ascii="Times New Roman" w:hAnsi="Times New Roman" w:cs="Times New Roman" w:hint="eastAsia"/>
        </w:rPr>
        <w:t>月までの</w:t>
      </w:r>
      <w:r>
        <w:rPr>
          <w:rFonts w:ascii="Times New Roman" w:hAnsi="Times New Roman" w:cs="Times New Roman" w:hint="eastAsia"/>
        </w:rPr>
        <w:t>1</w:t>
      </w:r>
      <w:r>
        <w:rPr>
          <w:rFonts w:ascii="Times New Roman" w:hAnsi="Times New Roman" w:cs="Times New Roman" w:hint="eastAsia"/>
        </w:rPr>
        <w:t>年間にアパート価格は約</w:t>
      </w:r>
      <w:r>
        <w:rPr>
          <w:rFonts w:ascii="Times New Roman" w:hAnsi="Times New Roman" w:cs="Times New Roman" w:hint="eastAsia"/>
        </w:rPr>
        <w:t>25</w:t>
      </w:r>
      <w:r>
        <w:rPr>
          <w:rFonts w:ascii="Times New Roman" w:hAnsi="Times New Roman" w:cs="Times New Roman" w:hint="eastAsia"/>
        </w:rPr>
        <w:t>％も低下した。不動産セクターの減速は、今度は資産効果を通じて消費に、そして投資に否定的な影響を与えた（</w:t>
      </w:r>
      <w:r>
        <w:rPr>
          <w:rFonts w:ascii="Times New Roman" w:hAnsi="Times New Roman" w:cs="Times New Roman" w:hint="eastAsia"/>
        </w:rPr>
        <w:t>CEE Quarterly, 3/2008</w:t>
      </w:r>
      <w:r>
        <w:rPr>
          <w:rFonts w:ascii="Times New Roman" w:hAnsi="Times New Roman" w:cs="Times New Roman" w:hint="eastAsia"/>
        </w:rPr>
        <w:t>）。新規登録自動車の数は同年</w:t>
      </w:r>
      <w:r>
        <w:rPr>
          <w:rFonts w:ascii="Times New Roman" w:hAnsi="Times New Roman" w:cs="Times New Roman" w:hint="eastAsia"/>
        </w:rPr>
        <w:t>3</w:t>
      </w:r>
      <w:r>
        <w:rPr>
          <w:rFonts w:ascii="Times New Roman" w:hAnsi="Times New Roman" w:cs="Times New Roman" w:hint="eastAsia"/>
        </w:rPr>
        <w:t>月には対前年同期比</w:t>
      </w:r>
      <w:r>
        <w:rPr>
          <w:rFonts w:ascii="Times New Roman" w:hAnsi="Times New Roman" w:cs="Times New Roman" w:hint="eastAsia"/>
        </w:rPr>
        <w:t>49</w:t>
      </w:r>
      <w:r>
        <w:rPr>
          <w:rFonts w:ascii="Times New Roman" w:hAnsi="Times New Roman" w:cs="Times New Roman" w:hint="eastAsia"/>
        </w:rPr>
        <w:t>％も減少した。建設業も低調であった。</w:t>
      </w:r>
      <w:r w:rsidR="000B24B8">
        <w:rPr>
          <w:rFonts w:ascii="Times New Roman" w:hAnsi="Times New Roman" w:cs="Times New Roman" w:hint="eastAsia"/>
        </w:rPr>
        <w:t>経済成長率は</w:t>
      </w:r>
      <w:r w:rsidR="000B24B8">
        <w:rPr>
          <w:rFonts w:ascii="Times New Roman" w:hAnsi="Times New Roman" w:cs="Times New Roman" w:hint="eastAsia"/>
        </w:rPr>
        <w:t>2006</w:t>
      </w:r>
      <w:r w:rsidR="000B24B8">
        <w:rPr>
          <w:rFonts w:ascii="Times New Roman" w:hAnsi="Times New Roman" w:cs="Times New Roman" w:hint="eastAsia"/>
        </w:rPr>
        <w:t>年の</w:t>
      </w:r>
      <w:r w:rsidR="000B24B8">
        <w:rPr>
          <w:rFonts w:ascii="Times New Roman" w:hAnsi="Times New Roman" w:cs="Times New Roman" w:hint="eastAsia"/>
        </w:rPr>
        <w:t>12.2</w:t>
      </w:r>
      <w:r w:rsidR="000B24B8">
        <w:rPr>
          <w:rFonts w:ascii="Times New Roman" w:hAnsi="Times New Roman" w:cs="Times New Roman" w:hint="eastAsia"/>
        </w:rPr>
        <w:t>％から</w:t>
      </w:r>
      <w:r w:rsidR="000B24B8">
        <w:rPr>
          <w:rFonts w:ascii="Times New Roman" w:hAnsi="Times New Roman" w:cs="Times New Roman" w:hint="eastAsia"/>
        </w:rPr>
        <w:t>2007</w:t>
      </w:r>
      <w:r w:rsidR="000B24B8">
        <w:rPr>
          <w:rFonts w:ascii="Times New Roman" w:hAnsi="Times New Roman" w:cs="Times New Roman" w:hint="eastAsia"/>
        </w:rPr>
        <w:t>年には</w:t>
      </w:r>
      <w:r w:rsidR="000B24B8">
        <w:rPr>
          <w:rFonts w:ascii="Times New Roman" w:hAnsi="Times New Roman" w:cs="Times New Roman" w:hint="eastAsia"/>
        </w:rPr>
        <w:t>10.3</w:t>
      </w:r>
      <w:r w:rsidR="000B24B8">
        <w:rPr>
          <w:rFonts w:ascii="Times New Roman" w:hAnsi="Times New Roman" w:cs="Times New Roman" w:hint="eastAsia"/>
        </w:rPr>
        <w:t>％へ、そして</w:t>
      </w:r>
      <w:r w:rsidR="000B24B8">
        <w:rPr>
          <w:rFonts w:ascii="Times New Roman" w:hAnsi="Times New Roman" w:cs="Times New Roman" w:hint="eastAsia"/>
        </w:rPr>
        <w:t>2008</w:t>
      </w:r>
      <w:r w:rsidR="000B24B8">
        <w:rPr>
          <w:rFonts w:ascii="Times New Roman" w:hAnsi="Times New Roman" w:cs="Times New Roman" w:hint="eastAsia"/>
        </w:rPr>
        <w:t>年第</w:t>
      </w:r>
      <w:r w:rsidR="000B24B8">
        <w:rPr>
          <w:rFonts w:ascii="Times New Roman" w:hAnsi="Times New Roman" w:cs="Times New Roman" w:hint="eastAsia"/>
        </w:rPr>
        <w:t>2</w:t>
      </w:r>
      <w:r w:rsidR="000B24B8">
        <w:rPr>
          <w:rFonts w:ascii="Times New Roman" w:hAnsi="Times New Roman" w:cs="Times New Roman" w:hint="eastAsia"/>
        </w:rPr>
        <w:t>四半期には‐</w:t>
      </w:r>
      <w:r w:rsidR="000B24B8">
        <w:rPr>
          <w:rFonts w:ascii="Times New Roman" w:hAnsi="Times New Roman" w:cs="Times New Roman" w:hint="eastAsia"/>
        </w:rPr>
        <w:t>1.9</w:t>
      </w:r>
      <w:r w:rsidR="000B24B8">
        <w:rPr>
          <w:rFonts w:ascii="Times New Roman" w:hAnsi="Times New Roman" w:cs="Times New Roman" w:hint="eastAsia"/>
        </w:rPr>
        <w:t>％へと急激に減速した。対照的にインフレ率は</w:t>
      </w:r>
      <w:r w:rsidR="000B24B8">
        <w:rPr>
          <w:rFonts w:ascii="Times New Roman" w:hAnsi="Times New Roman" w:cs="Times New Roman" w:hint="eastAsia"/>
        </w:rPr>
        <w:t>2008</w:t>
      </w:r>
      <w:r w:rsidR="000B24B8">
        <w:rPr>
          <w:rFonts w:ascii="Times New Roman" w:hAnsi="Times New Roman" w:cs="Times New Roman" w:hint="eastAsia"/>
        </w:rPr>
        <w:t>年に</w:t>
      </w:r>
      <w:r w:rsidR="000B24B8">
        <w:rPr>
          <w:rFonts w:ascii="Times New Roman" w:hAnsi="Times New Roman" w:cs="Times New Roman" w:hint="eastAsia"/>
        </w:rPr>
        <w:t>15.5</w:t>
      </w:r>
      <w:r w:rsidR="000B24B8">
        <w:rPr>
          <w:rFonts w:ascii="Times New Roman" w:hAnsi="Times New Roman" w:cs="Times New Roman" w:hint="eastAsia"/>
        </w:rPr>
        <w:t>％へと上昇した。まさにスタグフレーションであった。</w:t>
      </w:r>
    </w:p>
    <w:p w:rsidR="000B24B8" w:rsidRDefault="000B24B8">
      <w:pPr>
        <w:rPr>
          <w:rFonts w:ascii="Times New Roman" w:hAnsi="Times New Roman" w:cs="Times New Roman"/>
        </w:rPr>
      </w:pPr>
      <w:r>
        <w:rPr>
          <w:rFonts w:ascii="Times New Roman" w:hAnsi="Times New Roman" w:cs="Times New Roman" w:hint="eastAsia"/>
        </w:rPr>
        <w:t xml:space="preserve">　ラトヴィア経済は</w:t>
      </w:r>
      <w:r>
        <w:rPr>
          <w:rFonts w:ascii="Times New Roman" w:hAnsi="Times New Roman" w:cs="Times New Roman" w:hint="eastAsia"/>
        </w:rPr>
        <w:t>2007</w:t>
      </w:r>
      <w:r>
        <w:rPr>
          <w:rFonts w:ascii="Times New Roman" w:hAnsi="Times New Roman" w:cs="Times New Roman" w:hint="eastAsia"/>
        </w:rPr>
        <w:t>年</w:t>
      </w:r>
      <w:r>
        <w:rPr>
          <w:rFonts w:ascii="Times New Roman" w:hAnsi="Times New Roman" w:cs="Times New Roman" w:hint="eastAsia"/>
        </w:rPr>
        <w:t>12</w:t>
      </w:r>
      <w:r>
        <w:rPr>
          <w:rFonts w:ascii="Times New Roman" w:hAnsi="Times New Roman" w:cs="Times New Roman" w:hint="eastAsia"/>
        </w:rPr>
        <w:t>月に不況に陥ったところに、</w:t>
      </w:r>
      <w:r>
        <w:rPr>
          <w:rFonts w:ascii="Times New Roman" w:hAnsi="Times New Roman" w:cs="Times New Roman" w:hint="eastAsia"/>
        </w:rPr>
        <w:t>2008</w:t>
      </w:r>
      <w:r>
        <w:rPr>
          <w:rFonts w:ascii="Times New Roman" w:hAnsi="Times New Roman" w:cs="Times New Roman" w:hint="eastAsia"/>
        </w:rPr>
        <w:t>年</w:t>
      </w:r>
      <w:r>
        <w:rPr>
          <w:rFonts w:ascii="Times New Roman" w:hAnsi="Times New Roman" w:cs="Times New Roman" w:hint="eastAsia"/>
        </w:rPr>
        <w:t>9</w:t>
      </w:r>
      <w:r>
        <w:rPr>
          <w:rFonts w:ascii="Times New Roman" w:hAnsi="Times New Roman" w:cs="Times New Roman" w:hint="eastAsia"/>
        </w:rPr>
        <w:t>月のリーマン・ショックが付け加わった。</w:t>
      </w:r>
      <w:r w:rsidR="009C6C65">
        <w:rPr>
          <w:rFonts w:ascii="Times New Roman" w:hAnsi="Times New Roman" w:cs="Times New Roman" w:hint="eastAsia"/>
        </w:rPr>
        <w:t>同年</w:t>
      </w:r>
      <w:r w:rsidR="009C6C65">
        <w:rPr>
          <w:rFonts w:ascii="Times New Roman" w:hAnsi="Times New Roman" w:cs="Times New Roman" w:hint="eastAsia"/>
        </w:rPr>
        <w:t>10</w:t>
      </w:r>
      <w:r w:rsidR="009C6C65">
        <w:rPr>
          <w:rFonts w:ascii="Times New Roman" w:hAnsi="Times New Roman" w:cs="Times New Roman" w:hint="eastAsia"/>
        </w:rPr>
        <w:t>月、ラトヴィア第</w:t>
      </w:r>
      <w:r w:rsidR="009C6C65">
        <w:rPr>
          <w:rFonts w:ascii="Times New Roman" w:hAnsi="Times New Roman" w:cs="Times New Roman" w:hint="eastAsia"/>
        </w:rPr>
        <w:t>2</w:t>
      </w:r>
      <w:r w:rsidR="009C6C65">
        <w:rPr>
          <w:rFonts w:ascii="Times New Roman" w:hAnsi="Times New Roman" w:cs="Times New Roman" w:hint="eastAsia"/>
        </w:rPr>
        <w:t>位の銀行パレックス銀行</w:t>
      </w:r>
      <w:proofErr w:type="spellStart"/>
      <w:r w:rsidR="009C6C65">
        <w:rPr>
          <w:rFonts w:ascii="Times New Roman" w:hAnsi="Times New Roman" w:cs="Times New Roman" w:hint="eastAsia"/>
        </w:rPr>
        <w:t>Parex</w:t>
      </w:r>
      <w:proofErr w:type="spellEnd"/>
      <w:r w:rsidR="009C6C65">
        <w:rPr>
          <w:rFonts w:ascii="Times New Roman" w:hAnsi="Times New Roman" w:cs="Times New Roman" w:hint="eastAsia"/>
        </w:rPr>
        <w:t xml:space="preserve"> Bank</w:t>
      </w:r>
      <w:r w:rsidR="009C6C65">
        <w:rPr>
          <w:rFonts w:ascii="Times New Roman" w:hAnsi="Times New Roman" w:cs="Times New Roman" w:hint="eastAsia"/>
        </w:rPr>
        <w:t>が非居住者の預金の突然の流出に見舞われた。ラトヴィアの上位の銀行の内訳を見ると、国内の（土着の）銀行が</w:t>
      </w:r>
      <w:r w:rsidR="009C6C65">
        <w:rPr>
          <w:rFonts w:ascii="Times New Roman" w:hAnsi="Times New Roman" w:cs="Times New Roman" w:hint="eastAsia"/>
        </w:rPr>
        <w:t>4</w:t>
      </w:r>
      <w:r w:rsidR="009C6C65">
        <w:rPr>
          <w:rFonts w:ascii="Times New Roman" w:hAnsi="Times New Roman" w:cs="Times New Roman" w:hint="eastAsia"/>
        </w:rPr>
        <w:t>行入っており、マーケット・シェアは</w:t>
      </w:r>
      <w:r w:rsidR="009C6C65">
        <w:rPr>
          <w:rFonts w:ascii="Times New Roman" w:hAnsi="Times New Roman" w:cs="Times New Roman" w:hint="eastAsia"/>
        </w:rPr>
        <w:t>29.5</w:t>
      </w:r>
      <w:r w:rsidR="009C6C65">
        <w:rPr>
          <w:rFonts w:ascii="Times New Roman" w:hAnsi="Times New Roman" w:cs="Times New Roman" w:hint="eastAsia"/>
        </w:rPr>
        <w:t>％であった。残りの</w:t>
      </w:r>
      <w:r w:rsidR="009C6C65">
        <w:rPr>
          <w:rFonts w:ascii="Times New Roman" w:hAnsi="Times New Roman" w:cs="Times New Roman" w:hint="eastAsia"/>
        </w:rPr>
        <w:t>70.5</w:t>
      </w:r>
      <w:r w:rsidR="009C6C65">
        <w:rPr>
          <w:rFonts w:ascii="Times New Roman" w:hAnsi="Times New Roman" w:cs="Times New Roman" w:hint="eastAsia"/>
        </w:rPr>
        <w:t>％は外資系の銀行</w:t>
      </w:r>
      <w:r w:rsidR="009C6C65">
        <w:rPr>
          <w:rFonts w:ascii="Times New Roman" w:hAnsi="Times New Roman" w:cs="Times New Roman" w:hint="eastAsia"/>
        </w:rPr>
        <w:t>6</w:t>
      </w:r>
      <w:r w:rsidR="009C6C65">
        <w:rPr>
          <w:rFonts w:ascii="Times New Roman" w:hAnsi="Times New Roman" w:cs="Times New Roman" w:hint="eastAsia"/>
        </w:rPr>
        <w:t>行が占めており、うち</w:t>
      </w:r>
      <w:r w:rsidR="009C6C65">
        <w:rPr>
          <w:rFonts w:ascii="Times New Roman" w:hAnsi="Times New Roman" w:cs="Times New Roman" w:hint="eastAsia"/>
        </w:rPr>
        <w:t>3</w:t>
      </w:r>
      <w:r w:rsidR="009C6C65">
        <w:rPr>
          <w:rFonts w:ascii="Times New Roman" w:hAnsi="Times New Roman" w:cs="Times New Roman" w:hint="eastAsia"/>
        </w:rPr>
        <w:t>行はスウェーデンの銀行（</w:t>
      </w:r>
      <w:proofErr w:type="spellStart"/>
      <w:r w:rsidR="009C6C65">
        <w:rPr>
          <w:rFonts w:ascii="Times New Roman" w:hAnsi="Times New Roman" w:cs="Times New Roman" w:hint="eastAsia"/>
        </w:rPr>
        <w:t>Hansabanka</w:t>
      </w:r>
      <w:proofErr w:type="spellEnd"/>
      <w:r w:rsidR="009C6C65">
        <w:rPr>
          <w:rFonts w:ascii="Times New Roman" w:hAnsi="Times New Roman" w:cs="Times New Roman" w:hint="eastAsia"/>
        </w:rPr>
        <w:t>がマーケット・シェア</w:t>
      </w:r>
      <w:r w:rsidR="009C6C65">
        <w:rPr>
          <w:rFonts w:ascii="Times New Roman" w:hAnsi="Times New Roman" w:cs="Times New Roman" w:hint="eastAsia"/>
        </w:rPr>
        <w:t>21.7</w:t>
      </w:r>
      <w:r w:rsidR="009C6C65">
        <w:rPr>
          <w:rFonts w:ascii="Times New Roman" w:hAnsi="Times New Roman" w:cs="Times New Roman" w:hint="eastAsia"/>
        </w:rPr>
        <w:t>％で第</w:t>
      </w:r>
      <w:r w:rsidR="009C6C65">
        <w:rPr>
          <w:rFonts w:ascii="Times New Roman" w:hAnsi="Times New Roman" w:cs="Times New Roman" w:hint="eastAsia"/>
        </w:rPr>
        <w:t>1</w:t>
      </w:r>
      <w:r w:rsidR="009C6C65">
        <w:rPr>
          <w:rFonts w:ascii="Times New Roman" w:hAnsi="Times New Roman" w:cs="Times New Roman" w:hint="eastAsia"/>
        </w:rPr>
        <w:t>位、</w:t>
      </w:r>
      <w:r w:rsidR="009C6C65">
        <w:rPr>
          <w:rFonts w:ascii="Times New Roman" w:hAnsi="Times New Roman" w:cs="Times New Roman" w:hint="eastAsia"/>
        </w:rPr>
        <w:t xml:space="preserve">SEB </w:t>
      </w:r>
      <w:proofErr w:type="spellStart"/>
      <w:r w:rsidR="009C6C65">
        <w:rPr>
          <w:rFonts w:ascii="Times New Roman" w:hAnsi="Times New Roman" w:cs="Times New Roman" w:hint="eastAsia"/>
        </w:rPr>
        <w:t>Unibanka</w:t>
      </w:r>
      <w:proofErr w:type="spellEnd"/>
      <w:r w:rsidR="009C6C65">
        <w:rPr>
          <w:rFonts w:ascii="Times New Roman" w:hAnsi="Times New Roman" w:cs="Times New Roman" w:hint="eastAsia"/>
        </w:rPr>
        <w:t>が</w:t>
      </w:r>
      <w:r w:rsidR="009C6C65">
        <w:rPr>
          <w:rFonts w:ascii="Times New Roman" w:hAnsi="Times New Roman" w:cs="Times New Roman" w:hint="eastAsia"/>
        </w:rPr>
        <w:t>14.1</w:t>
      </w:r>
      <w:r w:rsidR="009C6C65">
        <w:rPr>
          <w:rFonts w:ascii="Times New Roman" w:hAnsi="Times New Roman" w:cs="Times New Roman" w:hint="eastAsia"/>
        </w:rPr>
        <w:t>％で第</w:t>
      </w:r>
      <w:r w:rsidR="009C6C65">
        <w:rPr>
          <w:rFonts w:ascii="Times New Roman" w:hAnsi="Times New Roman" w:cs="Times New Roman" w:hint="eastAsia"/>
        </w:rPr>
        <w:t>3</w:t>
      </w:r>
      <w:r w:rsidR="009C6C65">
        <w:rPr>
          <w:rFonts w:ascii="Times New Roman" w:hAnsi="Times New Roman" w:cs="Times New Roman" w:hint="eastAsia"/>
        </w:rPr>
        <w:t>位、</w:t>
      </w:r>
      <w:proofErr w:type="spellStart"/>
      <w:r w:rsidR="009C6C65">
        <w:rPr>
          <w:rFonts w:ascii="Times New Roman" w:hAnsi="Times New Roman" w:cs="Times New Roman" w:hint="eastAsia"/>
        </w:rPr>
        <w:t>Nordea</w:t>
      </w:r>
      <w:proofErr w:type="spellEnd"/>
      <w:r w:rsidR="009C6C65">
        <w:rPr>
          <w:rFonts w:ascii="Times New Roman" w:hAnsi="Times New Roman" w:cs="Times New Roman" w:hint="eastAsia"/>
        </w:rPr>
        <w:t>が</w:t>
      </w:r>
      <w:r w:rsidR="009C6C65">
        <w:rPr>
          <w:rFonts w:ascii="Times New Roman" w:hAnsi="Times New Roman" w:cs="Times New Roman" w:hint="eastAsia"/>
        </w:rPr>
        <w:t>8.3</w:t>
      </w:r>
      <w:r w:rsidR="009C6C65">
        <w:rPr>
          <w:rFonts w:ascii="Times New Roman" w:hAnsi="Times New Roman" w:cs="Times New Roman" w:hint="eastAsia"/>
        </w:rPr>
        <w:t>％で第</w:t>
      </w:r>
      <w:r w:rsidR="009C6C65">
        <w:rPr>
          <w:rFonts w:ascii="Times New Roman" w:hAnsi="Times New Roman" w:cs="Times New Roman" w:hint="eastAsia"/>
        </w:rPr>
        <w:t>5</w:t>
      </w:r>
      <w:r w:rsidR="009C6C65">
        <w:rPr>
          <w:rFonts w:ascii="Times New Roman" w:hAnsi="Times New Roman" w:cs="Times New Roman" w:hint="eastAsia"/>
        </w:rPr>
        <w:t>位）であった（</w:t>
      </w:r>
      <w:r w:rsidR="009C6C65">
        <w:rPr>
          <w:rFonts w:ascii="Times New Roman" w:hAnsi="Times New Roman" w:cs="Times New Roman" w:hint="eastAsia"/>
        </w:rPr>
        <w:t>CEE Quarterly, July 2008</w:t>
      </w:r>
      <w:r w:rsidR="009C6C65">
        <w:rPr>
          <w:rFonts w:ascii="Times New Roman" w:hAnsi="Times New Roman" w:cs="Times New Roman" w:hint="eastAsia"/>
        </w:rPr>
        <w:t>）。エストニアとリトアニアでは外資系銀行が圧倒的に支配している（</w:t>
      </w:r>
      <w:r w:rsidR="009C6C65">
        <w:rPr>
          <w:rFonts w:ascii="Times New Roman" w:hAnsi="Times New Roman" w:cs="Times New Roman" w:hint="eastAsia"/>
        </w:rPr>
        <w:t>2007</w:t>
      </w:r>
      <w:r w:rsidR="009C6C65">
        <w:rPr>
          <w:rFonts w:ascii="Times New Roman" w:hAnsi="Times New Roman" w:cs="Times New Roman" w:hint="eastAsia"/>
        </w:rPr>
        <w:t>年には、それぞれ銀行セクターの資産の</w:t>
      </w:r>
      <w:r w:rsidR="009C6C65">
        <w:rPr>
          <w:rFonts w:ascii="Times New Roman" w:hAnsi="Times New Roman" w:cs="Times New Roman" w:hint="eastAsia"/>
        </w:rPr>
        <w:t>98.7</w:t>
      </w:r>
      <w:r w:rsidR="009C6C65">
        <w:rPr>
          <w:rFonts w:ascii="Times New Roman" w:hAnsi="Times New Roman" w:cs="Times New Roman" w:hint="eastAsia"/>
        </w:rPr>
        <w:t>％と</w:t>
      </w:r>
      <w:r w:rsidR="009C6C65">
        <w:rPr>
          <w:rFonts w:ascii="Times New Roman" w:hAnsi="Times New Roman" w:cs="Times New Roman" w:hint="eastAsia"/>
        </w:rPr>
        <w:t>85.3</w:t>
      </w:r>
      <w:r w:rsidR="009C6C65">
        <w:rPr>
          <w:rFonts w:ascii="Times New Roman" w:hAnsi="Times New Roman" w:cs="Times New Roman" w:hint="eastAsia"/>
        </w:rPr>
        <w:t>％を占めていた）。それが幸いして、両国は危機に対応することができた。</w:t>
      </w:r>
      <w:r w:rsidR="00FD65EA">
        <w:rPr>
          <w:rFonts w:ascii="Times New Roman" w:hAnsi="Times New Roman" w:cs="Times New Roman" w:hint="eastAsia"/>
        </w:rPr>
        <w:t>パレックス銀行</w:t>
      </w:r>
      <w:r w:rsidR="00FD65EA">
        <w:rPr>
          <w:rStyle w:val="ae"/>
          <w:rFonts w:ascii="Times New Roman" w:hAnsi="Times New Roman" w:cs="Times New Roman"/>
        </w:rPr>
        <w:footnoteReference w:id="9"/>
      </w:r>
      <w:r w:rsidR="00FD65EA">
        <w:rPr>
          <w:rFonts w:ascii="Times New Roman" w:hAnsi="Times New Roman" w:cs="Times New Roman" w:hint="eastAsia"/>
        </w:rPr>
        <w:t>は非居住者（ロシアおよび</w:t>
      </w:r>
      <w:r w:rsidR="00FD65EA">
        <w:rPr>
          <w:rFonts w:ascii="Times New Roman" w:hAnsi="Times New Roman" w:cs="Times New Roman" w:hint="eastAsia"/>
        </w:rPr>
        <w:t>CIS</w:t>
      </w:r>
      <w:r w:rsidR="00FD65EA">
        <w:rPr>
          <w:rFonts w:ascii="Times New Roman" w:hAnsi="Times New Roman" w:cs="Times New Roman" w:hint="eastAsia"/>
        </w:rPr>
        <w:t>諸国）の預金を獲得して急成長した土着の銀行であるが、外資系銀行の後ろ盾がなかったので、グローバル金融危機に対応することができなかった。同年</w:t>
      </w:r>
      <w:r w:rsidR="00FD65EA">
        <w:rPr>
          <w:rFonts w:ascii="Times New Roman" w:hAnsi="Times New Roman" w:cs="Times New Roman" w:hint="eastAsia"/>
        </w:rPr>
        <w:t>11</w:t>
      </w:r>
      <w:r w:rsidR="00FD65EA">
        <w:rPr>
          <w:rFonts w:ascii="Times New Roman" w:hAnsi="Times New Roman" w:cs="Times New Roman" w:hint="eastAsia"/>
        </w:rPr>
        <w:t>月初め、政府は同銀行を接収した。</w:t>
      </w:r>
    </w:p>
    <w:p w:rsidR="00645B8B" w:rsidRDefault="00645B8B">
      <w:pPr>
        <w:rPr>
          <w:rFonts w:ascii="Times New Roman" w:hAnsi="Times New Roman" w:cs="Times New Roman"/>
        </w:rPr>
      </w:pPr>
      <w:r>
        <w:rPr>
          <w:rFonts w:ascii="Times New Roman" w:hAnsi="Times New Roman" w:cs="Times New Roman" w:hint="eastAsia"/>
        </w:rPr>
        <w:t xml:space="preserve">　同年</w:t>
      </w:r>
      <w:r>
        <w:rPr>
          <w:rFonts w:ascii="Times New Roman" w:hAnsi="Times New Roman" w:cs="Times New Roman" w:hint="eastAsia"/>
        </w:rPr>
        <w:t>12</w:t>
      </w:r>
      <w:r>
        <w:rPr>
          <w:rFonts w:ascii="Times New Roman" w:hAnsi="Times New Roman" w:cs="Times New Roman" w:hint="eastAsia"/>
        </w:rPr>
        <w:t>月にスウェーデンとデンマークの中央銀行がラトヴィアの救援に駆けつけ、ラトヴィア中央銀行とスワップ協定を締結した。その後まとまった救済パッケージは、</w:t>
      </w:r>
      <w:r>
        <w:rPr>
          <w:rFonts w:ascii="Times New Roman" w:hAnsi="Times New Roman" w:cs="Times New Roman" w:hint="eastAsia"/>
        </w:rPr>
        <w:t>IMF</w:t>
      </w:r>
      <w:r>
        <w:rPr>
          <w:rFonts w:ascii="Times New Roman" w:hAnsi="Times New Roman" w:cs="Times New Roman" w:hint="eastAsia"/>
        </w:rPr>
        <w:t>の約</w:t>
      </w:r>
      <w:r>
        <w:rPr>
          <w:rFonts w:ascii="Times New Roman" w:hAnsi="Times New Roman" w:cs="Times New Roman" w:hint="eastAsia"/>
        </w:rPr>
        <w:t>17</w:t>
      </w:r>
      <w:r>
        <w:rPr>
          <w:rFonts w:ascii="Times New Roman" w:hAnsi="Times New Roman" w:cs="Times New Roman" w:hint="eastAsia"/>
        </w:rPr>
        <w:t>億ユーロのローンのほかに、</w:t>
      </w:r>
      <w:r>
        <w:rPr>
          <w:rFonts w:ascii="Times New Roman" w:hAnsi="Times New Roman" w:cs="Times New Roman" w:hint="eastAsia"/>
        </w:rPr>
        <w:t>EU</w:t>
      </w:r>
      <w:r>
        <w:rPr>
          <w:rFonts w:ascii="Times New Roman" w:hAnsi="Times New Roman" w:cs="Times New Roman" w:hint="eastAsia"/>
        </w:rPr>
        <w:t>、世銀および北欧など数ヵ国からのローンからなり、</w:t>
      </w:r>
      <w:r>
        <w:rPr>
          <w:rFonts w:ascii="Times New Roman" w:hAnsi="Times New Roman" w:cs="Times New Roman" w:hint="eastAsia"/>
        </w:rPr>
        <w:lastRenderedPageBreak/>
        <w:t>総額</w:t>
      </w:r>
      <w:r>
        <w:rPr>
          <w:rFonts w:ascii="Times New Roman" w:hAnsi="Times New Roman" w:cs="Times New Roman" w:hint="eastAsia"/>
        </w:rPr>
        <w:t>75</w:t>
      </w:r>
      <w:r>
        <w:rPr>
          <w:rFonts w:ascii="Times New Roman" w:hAnsi="Times New Roman" w:cs="Times New Roman" w:hint="eastAsia"/>
        </w:rPr>
        <w:t>億ユーロになったが、この額はラトヴィアの</w:t>
      </w:r>
      <w:r>
        <w:rPr>
          <w:rFonts w:ascii="Times New Roman" w:hAnsi="Times New Roman" w:cs="Times New Roman" w:hint="eastAsia"/>
        </w:rPr>
        <w:t>2008</w:t>
      </w:r>
      <w:r>
        <w:rPr>
          <w:rFonts w:ascii="Times New Roman" w:hAnsi="Times New Roman" w:cs="Times New Roman" w:hint="eastAsia"/>
        </w:rPr>
        <w:t>年の</w:t>
      </w:r>
      <w:r>
        <w:rPr>
          <w:rFonts w:ascii="Times New Roman" w:hAnsi="Times New Roman" w:cs="Times New Roman" w:hint="eastAsia"/>
        </w:rPr>
        <w:t>GDP</w:t>
      </w:r>
      <w:r>
        <w:rPr>
          <w:rFonts w:ascii="Times New Roman" w:hAnsi="Times New Roman" w:cs="Times New Roman" w:hint="eastAsia"/>
        </w:rPr>
        <w:t>の</w:t>
      </w:r>
      <w:r>
        <w:rPr>
          <w:rFonts w:ascii="Times New Roman" w:hAnsi="Times New Roman" w:cs="Times New Roman" w:hint="eastAsia"/>
        </w:rPr>
        <w:t>3</w:t>
      </w:r>
      <w:r>
        <w:rPr>
          <w:rFonts w:ascii="Times New Roman" w:hAnsi="Times New Roman" w:cs="Times New Roman" w:hint="eastAsia"/>
        </w:rPr>
        <w:t>分の</w:t>
      </w:r>
      <w:r>
        <w:rPr>
          <w:rFonts w:ascii="Times New Roman" w:hAnsi="Times New Roman" w:cs="Times New Roman" w:hint="eastAsia"/>
        </w:rPr>
        <w:t>1</w:t>
      </w:r>
      <w:r>
        <w:rPr>
          <w:rFonts w:ascii="Times New Roman" w:hAnsi="Times New Roman" w:cs="Times New Roman" w:hint="eastAsia"/>
        </w:rPr>
        <w:t>に等しかった。こうした支援により、ラトヴィアの金融市場は何とか持ちこたえたが、国際的にはハイリスク国</w:t>
      </w:r>
      <w:r w:rsidR="00C716D1">
        <w:rPr>
          <w:rFonts w:ascii="Times New Roman" w:hAnsi="Times New Roman" w:cs="Times New Roman" w:hint="eastAsia"/>
        </w:rPr>
        <w:t>と見られ、国際的信用市場からの借入れが困難となった。</w:t>
      </w:r>
    </w:p>
    <w:p w:rsidR="00645B8B" w:rsidRDefault="00645B8B" w:rsidP="00C716D1">
      <w:pPr>
        <w:ind w:firstLineChars="100" w:firstLine="210"/>
        <w:rPr>
          <w:rFonts w:ascii="Times New Roman" w:hAnsi="Times New Roman" w:cs="Times New Roman"/>
        </w:rPr>
      </w:pPr>
      <w:r>
        <w:rPr>
          <w:rFonts w:ascii="Times New Roman" w:hAnsi="Times New Roman" w:cs="Times New Roman" w:hint="eastAsia"/>
        </w:rPr>
        <w:t>ところで、</w:t>
      </w:r>
      <w:r>
        <w:rPr>
          <w:rFonts w:ascii="Times New Roman" w:hAnsi="Times New Roman" w:cs="Times New Roman" w:hint="eastAsia"/>
        </w:rPr>
        <w:t>EU</w:t>
      </w:r>
      <w:r>
        <w:rPr>
          <w:rFonts w:ascii="Times New Roman" w:hAnsi="Times New Roman" w:cs="Times New Roman" w:hint="eastAsia"/>
        </w:rPr>
        <w:t>と</w:t>
      </w:r>
      <w:r>
        <w:rPr>
          <w:rFonts w:ascii="Times New Roman" w:hAnsi="Times New Roman" w:cs="Times New Roman" w:hint="eastAsia"/>
        </w:rPr>
        <w:t>IMF</w:t>
      </w:r>
      <w:r>
        <w:rPr>
          <w:rFonts w:ascii="Times New Roman" w:hAnsi="Times New Roman" w:cs="Times New Roman" w:hint="eastAsia"/>
        </w:rPr>
        <w:t>からの支援には厳しい条件が付いていた。</w:t>
      </w:r>
      <w:r w:rsidR="00C716D1">
        <w:rPr>
          <w:rFonts w:ascii="Times New Roman" w:hAnsi="Times New Roman" w:cs="Times New Roman" w:hint="eastAsia"/>
        </w:rPr>
        <w:t>ラトヴィア政府は政府支出を抑制し、財政赤字を</w:t>
      </w:r>
      <w:r w:rsidR="00C716D1">
        <w:rPr>
          <w:rFonts w:ascii="Times New Roman" w:hAnsi="Times New Roman" w:cs="Times New Roman" w:hint="eastAsia"/>
        </w:rPr>
        <w:t>GDP</w:t>
      </w:r>
      <w:r w:rsidR="00C716D1">
        <w:rPr>
          <w:rFonts w:ascii="Times New Roman" w:hAnsi="Times New Roman" w:cs="Times New Roman" w:hint="eastAsia"/>
        </w:rPr>
        <w:t>の</w:t>
      </w:r>
      <w:r w:rsidR="00C716D1">
        <w:rPr>
          <w:rFonts w:ascii="Times New Roman" w:hAnsi="Times New Roman" w:cs="Times New Roman" w:hint="eastAsia"/>
        </w:rPr>
        <w:t>5</w:t>
      </w:r>
      <w:r w:rsidR="00C716D1">
        <w:rPr>
          <w:rFonts w:ascii="Times New Roman" w:hAnsi="Times New Roman" w:cs="Times New Roman" w:hint="eastAsia"/>
        </w:rPr>
        <w:t>％にまで減らすことを約束させられた。ところが、</w:t>
      </w:r>
      <w:r w:rsidR="00C716D1">
        <w:rPr>
          <w:rFonts w:ascii="Times New Roman" w:hAnsi="Times New Roman" w:cs="Times New Roman" w:hint="eastAsia"/>
        </w:rPr>
        <w:t>2009</w:t>
      </w:r>
      <w:r w:rsidR="00C716D1">
        <w:rPr>
          <w:rFonts w:ascii="Times New Roman" w:hAnsi="Times New Roman" w:cs="Times New Roman" w:hint="eastAsia"/>
        </w:rPr>
        <w:t>年</w:t>
      </w:r>
      <w:r w:rsidR="00C716D1">
        <w:rPr>
          <w:rFonts w:ascii="Times New Roman" w:hAnsi="Times New Roman" w:cs="Times New Roman" w:hint="eastAsia"/>
        </w:rPr>
        <w:t>4</w:t>
      </w:r>
      <w:r w:rsidR="00C716D1">
        <w:rPr>
          <w:rFonts w:ascii="Times New Roman" w:hAnsi="Times New Roman" w:cs="Times New Roman" w:hint="eastAsia"/>
        </w:rPr>
        <w:t>月までに、政府収入の減少が予想以上に劇的だということが判明し、そのため、</w:t>
      </w:r>
      <w:r w:rsidR="00C716D1">
        <w:rPr>
          <w:rFonts w:ascii="Times New Roman" w:hAnsi="Times New Roman" w:cs="Times New Roman" w:hint="eastAsia"/>
        </w:rPr>
        <w:t>2009</w:t>
      </w:r>
      <w:r w:rsidR="00C716D1">
        <w:rPr>
          <w:rFonts w:ascii="Times New Roman" w:hAnsi="Times New Roman" w:cs="Times New Roman" w:hint="eastAsia"/>
        </w:rPr>
        <w:t>年度の財政赤字は少なくとも</w:t>
      </w:r>
      <w:r w:rsidR="00C716D1">
        <w:rPr>
          <w:rFonts w:ascii="Times New Roman" w:hAnsi="Times New Roman" w:cs="Times New Roman" w:hint="eastAsia"/>
        </w:rPr>
        <w:t>GDP</w:t>
      </w:r>
      <w:r w:rsidR="00C716D1">
        <w:rPr>
          <w:rFonts w:ascii="Times New Roman" w:hAnsi="Times New Roman" w:cs="Times New Roman" w:hint="eastAsia"/>
        </w:rPr>
        <w:t>の</w:t>
      </w:r>
      <w:r w:rsidR="00C716D1">
        <w:rPr>
          <w:rFonts w:ascii="Times New Roman" w:hAnsi="Times New Roman" w:cs="Times New Roman" w:hint="eastAsia"/>
        </w:rPr>
        <w:t>9</w:t>
      </w:r>
      <w:r w:rsidR="00C716D1">
        <w:rPr>
          <w:rFonts w:ascii="Times New Roman" w:hAnsi="Times New Roman" w:cs="Times New Roman" w:hint="eastAsia"/>
        </w:rPr>
        <w:t>％にのぼる、と財務省は発表した。緊縮的財政政策を守るという点では、</w:t>
      </w:r>
      <w:r w:rsidR="00C716D1">
        <w:rPr>
          <w:rFonts w:ascii="Times New Roman" w:hAnsi="Times New Roman" w:cs="Times New Roman" w:hint="eastAsia"/>
        </w:rPr>
        <w:t>EU</w:t>
      </w:r>
      <w:r w:rsidR="00C716D1">
        <w:rPr>
          <w:rFonts w:ascii="Times New Roman" w:hAnsi="Times New Roman" w:cs="Times New Roman" w:hint="eastAsia"/>
        </w:rPr>
        <w:t>と</w:t>
      </w:r>
      <w:r w:rsidR="00C716D1">
        <w:rPr>
          <w:rFonts w:ascii="Times New Roman" w:hAnsi="Times New Roman" w:cs="Times New Roman" w:hint="eastAsia"/>
        </w:rPr>
        <w:t>IMF</w:t>
      </w:r>
      <w:r w:rsidR="00C716D1">
        <w:rPr>
          <w:rFonts w:ascii="Times New Roman" w:hAnsi="Times New Roman" w:cs="Times New Roman" w:hint="eastAsia"/>
        </w:rPr>
        <w:t>の態度は非常に厳格であった。</w:t>
      </w:r>
      <w:r w:rsidR="00C716D1">
        <w:rPr>
          <w:rFonts w:ascii="Times New Roman" w:hAnsi="Times New Roman" w:cs="Times New Roman" w:hint="eastAsia"/>
        </w:rPr>
        <w:t>EU</w:t>
      </w:r>
      <w:r w:rsidR="00C716D1">
        <w:rPr>
          <w:rFonts w:ascii="Times New Roman" w:hAnsi="Times New Roman" w:cs="Times New Roman" w:hint="eastAsia"/>
        </w:rPr>
        <w:t>と</w:t>
      </w:r>
      <w:r w:rsidR="00C716D1">
        <w:rPr>
          <w:rFonts w:ascii="Times New Roman" w:hAnsi="Times New Roman" w:cs="Times New Roman" w:hint="eastAsia"/>
        </w:rPr>
        <w:t>IMF</w:t>
      </w:r>
      <w:r w:rsidR="00C716D1">
        <w:rPr>
          <w:rFonts w:ascii="Times New Roman" w:hAnsi="Times New Roman" w:cs="Times New Roman" w:hint="eastAsia"/>
        </w:rPr>
        <w:t>は、</w:t>
      </w:r>
      <w:r w:rsidR="00C716D1">
        <w:rPr>
          <w:rFonts w:ascii="Times New Roman" w:hAnsi="Times New Roman" w:cs="Times New Roman" w:hint="eastAsia"/>
        </w:rPr>
        <w:t>5</w:t>
      </w:r>
      <w:r w:rsidR="00C716D1">
        <w:rPr>
          <w:rFonts w:ascii="Times New Roman" w:hAnsi="Times New Roman" w:cs="Times New Roman" w:hint="eastAsia"/>
        </w:rPr>
        <w:t>月末に想定された約</w:t>
      </w:r>
      <w:r w:rsidR="00C716D1">
        <w:rPr>
          <w:rFonts w:ascii="Times New Roman" w:hAnsi="Times New Roman" w:cs="Times New Roman" w:hint="eastAsia"/>
        </w:rPr>
        <w:t>17</w:t>
      </w:r>
      <w:r w:rsidR="00C716D1">
        <w:rPr>
          <w:rFonts w:ascii="Times New Roman" w:hAnsi="Times New Roman" w:cs="Times New Roman" w:hint="eastAsia"/>
        </w:rPr>
        <w:t>億ユーロ相当の救済パッケージの第</w:t>
      </w:r>
      <w:r w:rsidR="00C716D1">
        <w:rPr>
          <w:rFonts w:ascii="Times New Roman" w:hAnsi="Times New Roman" w:cs="Times New Roman" w:hint="eastAsia"/>
        </w:rPr>
        <w:t>2</w:t>
      </w:r>
      <w:r w:rsidR="00C716D1">
        <w:rPr>
          <w:rFonts w:ascii="Times New Roman" w:hAnsi="Times New Roman" w:cs="Times New Roman" w:hint="eastAsia"/>
        </w:rPr>
        <w:t>トランシュの引き渡しを拒否した。</w:t>
      </w:r>
    </w:p>
    <w:p w:rsidR="00C716D1" w:rsidRDefault="00C716D1" w:rsidP="00C716D1">
      <w:pPr>
        <w:ind w:firstLineChars="100" w:firstLine="210"/>
        <w:rPr>
          <w:rFonts w:ascii="Times New Roman" w:hAnsi="Times New Roman" w:cs="Times New Roman"/>
        </w:rPr>
      </w:pPr>
      <w:r>
        <w:rPr>
          <w:rFonts w:ascii="Times New Roman" w:hAnsi="Times New Roman" w:cs="Times New Roman" w:hint="eastAsia"/>
        </w:rPr>
        <w:t>2009</w:t>
      </w:r>
      <w:r>
        <w:rPr>
          <w:rFonts w:ascii="Times New Roman" w:hAnsi="Times New Roman" w:cs="Times New Roman" w:hint="eastAsia"/>
        </w:rPr>
        <w:t>年</w:t>
      </w:r>
      <w:r>
        <w:rPr>
          <w:rFonts w:ascii="Times New Roman" w:hAnsi="Times New Roman" w:cs="Times New Roman" w:hint="eastAsia"/>
        </w:rPr>
        <w:t>5</w:t>
      </w:r>
      <w:r>
        <w:rPr>
          <w:rFonts w:ascii="Times New Roman" w:hAnsi="Times New Roman" w:cs="Times New Roman" w:hint="eastAsia"/>
        </w:rPr>
        <w:t>月末までに、ラトヴィア中央銀行の外貨準備は対前年同期比で約</w:t>
      </w:r>
      <w:r>
        <w:rPr>
          <w:rFonts w:ascii="Times New Roman" w:hAnsi="Times New Roman" w:cs="Times New Roman" w:hint="eastAsia"/>
        </w:rPr>
        <w:t>40</w:t>
      </w:r>
      <w:r>
        <w:rPr>
          <w:rFonts w:ascii="Times New Roman" w:hAnsi="Times New Roman" w:cs="Times New Roman" w:hint="eastAsia"/>
        </w:rPr>
        <w:t>％も減少し、に日に日に減少しつつあった。それで、</w:t>
      </w:r>
      <w:r>
        <w:rPr>
          <w:rFonts w:ascii="Times New Roman" w:hAnsi="Times New Roman" w:cs="Times New Roman" w:hint="eastAsia"/>
        </w:rPr>
        <w:t>6</w:t>
      </w:r>
      <w:r>
        <w:rPr>
          <w:rFonts w:ascii="Times New Roman" w:hAnsi="Times New Roman" w:cs="Times New Roman" w:hint="eastAsia"/>
        </w:rPr>
        <w:t>月第</w:t>
      </w:r>
      <w:r>
        <w:rPr>
          <w:rFonts w:ascii="Times New Roman" w:hAnsi="Times New Roman" w:cs="Times New Roman" w:hint="eastAsia"/>
        </w:rPr>
        <w:t>1</w:t>
      </w:r>
      <w:r>
        <w:rPr>
          <w:rFonts w:ascii="Times New Roman" w:hAnsi="Times New Roman" w:cs="Times New Roman" w:hint="eastAsia"/>
        </w:rPr>
        <w:t>週、当局が公債オークションで財務証券の買い手を見つけることができなくなり、ソヴリン・デフォルトが迫った。翌週、</w:t>
      </w:r>
      <w:r>
        <w:rPr>
          <w:rFonts w:ascii="Times New Roman" w:hAnsi="Times New Roman" w:cs="Times New Roman" w:hint="eastAsia"/>
        </w:rPr>
        <w:t>overnight</w:t>
      </w:r>
      <w:r>
        <w:rPr>
          <w:rFonts w:ascii="Times New Roman" w:hAnsi="Times New Roman" w:cs="Times New Roman" w:hint="eastAsia"/>
        </w:rPr>
        <w:t>の</w:t>
      </w:r>
      <w:proofErr w:type="spellStart"/>
      <w:r>
        <w:rPr>
          <w:rFonts w:ascii="Times New Roman" w:hAnsi="Times New Roman" w:cs="Times New Roman" w:hint="eastAsia"/>
        </w:rPr>
        <w:t>Rigibor</w:t>
      </w:r>
      <w:proofErr w:type="spellEnd"/>
      <w:r>
        <w:rPr>
          <w:rFonts w:ascii="Times New Roman" w:hAnsi="Times New Roman" w:cs="Times New Roman" w:hint="eastAsia"/>
        </w:rPr>
        <w:t>（リガのインターバンク市場の金利）が</w:t>
      </w:r>
      <w:r>
        <w:rPr>
          <w:rFonts w:ascii="Times New Roman" w:hAnsi="Times New Roman" w:cs="Times New Roman" w:hint="eastAsia"/>
        </w:rPr>
        <w:t>20</w:t>
      </w:r>
      <w:r>
        <w:rPr>
          <w:rFonts w:ascii="Times New Roman" w:hAnsi="Times New Roman" w:cs="Times New Roman" w:hint="eastAsia"/>
        </w:rPr>
        <w:t>％以上に跳ね上がったが、これは銀行間貸付けが枯渇しつつあることを示していた。先物市場ではラトヴィア・ラットが名目額の</w:t>
      </w:r>
      <w:r>
        <w:rPr>
          <w:rFonts w:ascii="Times New Roman" w:hAnsi="Times New Roman" w:cs="Times New Roman" w:hint="eastAsia"/>
        </w:rPr>
        <w:t>50</w:t>
      </w:r>
      <w:r>
        <w:rPr>
          <w:rFonts w:ascii="Times New Roman" w:hAnsi="Times New Roman" w:cs="Times New Roman" w:hint="eastAsia"/>
        </w:rPr>
        <w:t>％で取引された（</w:t>
      </w:r>
      <w:proofErr w:type="spellStart"/>
      <w:r>
        <w:rPr>
          <w:rFonts w:ascii="Times New Roman" w:hAnsi="Times New Roman" w:cs="Times New Roman" w:hint="eastAsia"/>
        </w:rPr>
        <w:t>Leitner</w:t>
      </w:r>
      <w:proofErr w:type="spellEnd"/>
      <w:r>
        <w:rPr>
          <w:rFonts w:ascii="Times New Roman" w:hAnsi="Times New Roman" w:cs="Times New Roman" w:hint="eastAsia"/>
        </w:rPr>
        <w:t>, 2009, p. 60</w:t>
      </w:r>
      <w:r>
        <w:rPr>
          <w:rFonts w:ascii="Times New Roman" w:hAnsi="Times New Roman" w:cs="Times New Roman" w:hint="eastAsia"/>
        </w:rPr>
        <w:t>）。</w:t>
      </w:r>
    </w:p>
    <w:p w:rsidR="00685630" w:rsidRDefault="00685630" w:rsidP="00C716D1">
      <w:pPr>
        <w:ind w:firstLineChars="100" w:firstLine="210"/>
        <w:rPr>
          <w:rFonts w:ascii="Times New Roman" w:hAnsi="Times New Roman" w:cs="Times New Roman"/>
        </w:rPr>
      </w:pPr>
      <w:r>
        <w:rPr>
          <w:rFonts w:ascii="Times New Roman" w:hAnsi="Times New Roman" w:cs="Times New Roman" w:hint="eastAsia"/>
        </w:rPr>
        <w:t>この頃、ラトヴィアの外でも中でも（政府内部でも）ラットの切り下げの可能性がささやかれた。しかし、通貨切り下げは一面ではラトヴィアの輸出製品の国際競争力を強めるが、他面、外貨建てローン返済の負担が重くなる。そこで、ラトヴィア政府は名目的な切り下げをあきらめ、「国内的切り下げ（実体経済の調整）」を選択した。主として賃金の切り下げ、年金の切り下げ等を通じて国内物価の引き下げを実現し、輸出の競争力強化を目指す道を選んだ。政府は、公共セクターの賃金総額を名目で</w:t>
      </w:r>
      <w:r>
        <w:rPr>
          <w:rFonts w:ascii="Times New Roman" w:hAnsi="Times New Roman" w:cs="Times New Roman" w:hint="eastAsia"/>
        </w:rPr>
        <w:t>20</w:t>
      </w:r>
      <w:r>
        <w:rPr>
          <w:rFonts w:ascii="Times New Roman" w:hAnsi="Times New Roman" w:cs="Times New Roman" w:hint="eastAsia"/>
        </w:rPr>
        <w:t>％削減することに加えて、働いていない年金生活者に対しては年金の</w:t>
      </w:r>
      <w:r>
        <w:rPr>
          <w:rFonts w:ascii="Times New Roman" w:hAnsi="Times New Roman" w:cs="Times New Roman" w:hint="eastAsia"/>
        </w:rPr>
        <w:t>10</w:t>
      </w:r>
      <w:r>
        <w:rPr>
          <w:rFonts w:ascii="Times New Roman" w:hAnsi="Times New Roman" w:cs="Times New Roman" w:hint="eastAsia"/>
        </w:rPr>
        <w:t>％、まだ働いている年金生活者のための年金の</w:t>
      </w:r>
      <w:r>
        <w:rPr>
          <w:rFonts w:ascii="Times New Roman" w:hAnsi="Times New Roman" w:cs="Times New Roman" w:hint="eastAsia"/>
        </w:rPr>
        <w:t>70</w:t>
      </w:r>
      <w:r>
        <w:rPr>
          <w:rFonts w:ascii="Times New Roman" w:hAnsi="Times New Roman" w:cs="Times New Roman" w:hint="eastAsia"/>
        </w:rPr>
        <w:t>％削減、老齢年金と家族手当の</w:t>
      </w:r>
      <w:r>
        <w:rPr>
          <w:rFonts w:ascii="Times New Roman" w:hAnsi="Times New Roman" w:cs="Times New Roman" w:hint="eastAsia"/>
        </w:rPr>
        <w:t>10</w:t>
      </w:r>
      <w:r>
        <w:rPr>
          <w:rFonts w:ascii="Times New Roman" w:hAnsi="Times New Roman" w:cs="Times New Roman" w:hint="eastAsia"/>
        </w:rPr>
        <w:t>％削減を含む提案と共に、</w:t>
      </w:r>
      <w:r>
        <w:rPr>
          <w:rFonts w:ascii="Times New Roman" w:hAnsi="Times New Roman" w:cs="Times New Roman" w:hint="eastAsia"/>
        </w:rPr>
        <w:t>2010</w:t>
      </w:r>
      <w:r>
        <w:rPr>
          <w:rFonts w:ascii="Times New Roman" w:hAnsi="Times New Roman" w:cs="Times New Roman" w:hint="eastAsia"/>
        </w:rPr>
        <w:t>年予算の公共支出から</w:t>
      </w:r>
      <w:r>
        <w:rPr>
          <w:rFonts w:ascii="Times New Roman" w:hAnsi="Times New Roman" w:cs="Times New Roman" w:hint="eastAsia"/>
        </w:rPr>
        <w:t>5</w:t>
      </w:r>
      <w:r>
        <w:rPr>
          <w:rFonts w:ascii="Times New Roman" w:hAnsi="Times New Roman" w:cs="Times New Roman" w:hint="eastAsia"/>
        </w:rPr>
        <w:t>億ラット削減の大なたを振るう計画を打ち出した。医療費と教育費は厳しく削減され、この国の</w:t>
      </w:r>
      <w:r>
        <w:rPr>
          <w:rFonts w:ascii="Times New Roman" w:hAnsi="Times New Roman" w:cs="Times New Roman" w:hint="eastAsia"/>
        </w:rPr>
        <w:t>73</w:t>
      </w:r>
      <w:r>
        <w:rPr>
          <w:rFonts w:ascii="Times New Roman" w:hAnsi="Times New Roman" w:cs="Times New Roman" w:hint="eastAsia"/>
        </w:rPr>
        <w:t>ある入院患者の病院の</w:t>
      </w:r>
      <w:r>
        <w:rPr>
          <w:rFonts w:ascii="Times New Roman" w:hAnsi="Times New Roman" w:cs="Times New Roman" w:hint="eastAsia"/>
        </w:rPr>
        <w:t>3</w:t>
      </w:r>
      <w:r>
        <w:rPr>
          <w:rFonts w:ascii="Times New Roman" w:hAnsi="Times New Roman" w:cs="Times New Roman" w:hint="eastAsia"/>
        </w:rPr>
        <w:t>分の</w:t>
      </w:r>
      <w:r>
        <w:rPr>
          <w:rFonts w:ascii="Times New Roman" w:hAnsi="Times New Roman" w:cs="Times New Roman" w:hint="eastAsia"/>
        </w:rPr>
        <w:t>2</w:t>
      </w:r>
      <w:r>
        <w:rPr>
          <w:rFonts w:ascii="Times New Roman" w:hAnsi="Times New Roman" w:cs="Times New Roman" w:hint="eastAsia"/>
        </w:rPr>
        <w:t>および</w:t>
      </w:r>
      <w:r>
        <w:rPr>
          <w:rFonts w:ascii="Times New Roman" w:hAnsi="Times New Roman" w:cs="Times New Roman" w:hint="eastAsia"/>
        </w:rPr>
        <w:t>12</w:t>
      </w:r>
      <w:r>
        <w:rPr>
          <w:rFonts w:ascii="Times New Roman" w:hAnsi="Times New Roman" w:cs="Times New Roman" w:hint="eastAsia"/>
        </w:rPr>
        <w:t>の学校が閉鎖されると発表した。苛酷な措置のほんの</w:t>
      </w:r>
      <w:r>
        <w:rPr>
          <w:rFonts w:ascii="Times New Roman" w:hAnsi="Times New Roman" w:cs="Times New Roman" w:hint="eastAsia"/>
        </w:rPr>
        <w:t>2</w:t>
      </w: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を挙げると、個人所得の非課税最低限は</w:t>
      </w:r>
      <w:r>
        <w:rPr>
          <w:rFonts w:ascii="Times New Roman" w:hAnsi="Times New Roman" w:cs="Times New Roman" w:hint="eastAsia"/>
        </w:rPr>
        <w:t>60</w:t>
      </w:r>
      <w:r>
        <w:rPr>
          <w:rFonts w:ascii="Times New Roman" w:hAnsi="Times New Roman" w:cs="Times New Roman" w:hint="eastAsia"/>
        </w:rPr>
        <w:t>％引き下げられ、児童手当</w:t>
      </w:r>
      <w:r w:rsidR="00664CEA">
        <w:rPr>
          <w:rFonts w:ascii="Times New Roman" w:hAnsi="Times New Roman" w:cs="Times New Roman" w:hint="eastAsia"/>
        </w:rPr>
        <w:t>は</w:t>
      </w:r>
      <w:r w:rsidR="00664CEA">
        <w:rPr>
          <w:rFonts w:ascii="Times New Roman" w:hAnsi="Times New Roman" w:cs="Times New Roman" w:hint="eastAsia"/>
        </w:rPr>
        <w:t>10</w:t>
      </w:r>
      <w:r w:rsidR="00664CEA">
        <w:rPr>
          <w:rFonts w:ascii="Times New Roman" w:hAnsi="Times New Roman" w:cs="Times New Roman" w:hint="eastAsia"/>
        </w:rPr>
        <w:t>％削減された（</w:t>
      </w:r>
      <w:proofErr w:type="spellStart"/>
      <w:r w:rsidR="00664CEA">
        <w:rPr>
          <w:rFonts w:ascii="Times New Roman" w:hAnsi="Times New Roman" w:cs="Times New Roman" w:hint="eastAsia"/>
        </w:rPr>
        <w:t>Leitner</w:t>
      </w:r>
      <w:proofErr w:type="spellEnd"/>
      <w:r w:rsidR="00664CEA">
        <w:rPr>
          <w:rFonts w:ascii="Times New Roman" w:hAnsi="Times New Roman" w:cs="Times New Roman" w:hint="eastAsia"/>
        </w:rPr>
        <w:t>, 2009, p. 60</w:t>
      </w:r>
      <w:r w:rsidR="00664CEA">
        <w:rPr>
          <w:rFonts w:ascii="Times New Roman" w:hAnsi="Times New Roman" w:cs="Times New Roman" w:hint="eastAsia"/>
        </w:rPr>
        <w:t>）。</w:t>
      </w:r>
    </w:p>
    <w:p w:rsidR="00A258D7" w:rsidRPr="003D2124" w:rsidRDefault="00AF4C12">
      <w:pPr>
        <w:rPr>
          <w:rFonts w:ascii="Times New Roman" w:hAnsi="Times New Roman" w:cs="Times New Roman"/>
        </w:rPr>
      </w:pPr>
      <w:r>
        <w:rPr>
          <w:rFonts w:ascii="Times New Roman" w:hAnsi="Times New Roman" w:cs="Times New Roman" w:hint="eastAsia"/>
        </w:rPr>
        <w:t xml:space="preserve">　筆者は</w:t>
      </w:r>
      <w:r>
        <w:rPr>
          <w:rFonts w:ascii="Times New Roman" w:hAnsi="Times New Roman" w:cs="Times New Roman" w:hint="eastAsia"/>
        </w:rPr>
        <w:t>2010</w:t>
      </w:r>
      <w:r>
        <w:rPr>
          <w:rFonts w:ascii="Times New Roman" w:hAnsi="Times New Roman" w:cs="Times New Roman" w:hint="eastAsia"/>
        </w:rPr>
        <w:t>年当時、耐乏政策を余儀なくされたラトヴィアかなり長期にわたって停滞するだろうと考えた（小山、</w:t>
      </w:r>
      <w:r>
        <w:rPr>
          <w:rFonts w:ascii="Times New Roman" w:hAnsi="Times New Roman" w:cs="Times New Roman" w:hint="eastAsia"/>
        </w:rPr>
        <w:t>2010</w:t>
      </w:r>
      <w:r>
        <w:rPr>
          <w:rFonts w:ascii="Times New Roman" w:hAnsi="Times New Roman" w:cs="Times New Roman" w:hint="eastAsia"/>
        </w:rPr>
        <w:t>）。ところが、筆者の予想に反して、ラトヴィアは隣国のエストニアやリトアニアと同様、</w:t>
      </w:r>
      <w:r w:rsidR="00A258D7">
        <w:rPr>
          <w:rFonts w:ascii="Times New Roman" w:hAnsi="Times New Roman" w:cs="Times New Roman" w:hint="eastAsia"/>
        </w:rPr>
        <w:t>その後</w:t>
      </w:r>
      <w:r w:rsidR="00A258D7">
        <w:rPr>
          <w:rFonts w:ascii="Times New Roman" w:hAnsi="Times New Roman" w:cs="Times New Roman" w:hint="eastAsia"/>
        </w:rPr>
        <w:t>V</w:t>
      </w:r>
      <w:r w:rsidR="00A258D7">
        <w:rPr>
          <w:rFonts w:ascii="Times New Roman" w:hAnsi="Times New Roman" w:cs="Times New Roman" w:hint="eastAsia"/>
        </w:rPr>
        <w:t>字回復を遂げた</w:t>
      </w:r>
      <w:r w:rsidR="00A258D7">
        <w:rPr>
          <w:rStyle w:val="ae"/>
          <w:rFonts w:ascii="Times New Roman" w:hAnsi="Times New Roman" w:cs="Times New Roman"/>
        </w:rPr>
        <w:footnoteReference w:id="10"/>
      </w:r>
      <w:r w:rsidR="00A258D7">
        <w:rPr>
          <w:rFonts w:ascii="Times New Roman" w:hAnsi="Times New Roman" w:cs="Times New Roman" w:hint="eastAsia"/>
        </w:rPr>
        <w:t>。</w:t>
      </w:r>
      <w:r>
        <w:rPr>
          <w:rFonts w:ascii="Times New Roman" w:hAnsi="Times New Roman" w:cs="Times New Roman" w:hint="eastAsia"/>
        </w:rPr>
        <w:t>その理由は、第</w:t>
      </w:r>
      <w:r>
        <w:rPr>
          <w:rFonts w:ascii="Times New Roman" w:hAnsi="Times New Roman" w:cs="Times New Roman" w:hint="eastAsia"/>
        </w:rPr>
        <w:t>1</w:t>
      </w:r>
      <w:r>
        <w:rPr>
          <w:rFonts w:ascii="Times New Roman" w:hAnsi="Times New Roman" w:cs="Times New Roman" w:hint="eastAsia"/>
        </w:rPr>
        <w:t>に、内部的切</w:t>
      </w:r>
      <w:r>
        <w:rPr>
          <w:rFonts w:ascii="Times New Roman" w:hAnsi="Times New Roman" w:cs="Times New Roman" w:hint="eastAsia"/>
        </w:rPr>
        <w:lastRenderedPageBreak/>
        <w:t>り下げ（賃金や年金の削減等を通じた）によって国際競争力を高めようとする人びとの涙ぐましい努力、第</w:t>
      </w:r>
      <w:r>
        <w:rPr>
          <w:rFonts w:ascii="Times New Roman" w:hAnsi="Times New Roman" w:cs="Times New Roman" w:hint="eastAsia"/>
        </w:rPr>
        <w:t>2</w:t>
      </w:r>
      <w:r>
        <w:rPr>
          <w:rFonts w:ascii="Times New Roman" w:hAnsi="Times New Roman" w:cs="Times New Roman" w:hint="eastAsia"/>
        </w:rPr>
        <w:t>に、ロシアへの輸出の急速な増加であった（</w:t>
      </w:r>
      <w:proofErr w:type="spellStart"/>
      <w:r>
        <w:rPr>
          <w:rFonts w:ascii="Times New Roman" w:hAnsi="Times New Roman" w:cs="Times New Roman" w:hint="eastAsia"/>
        </w:rPr>
        <w:t>Astrov</w:t>
      </w:r>
      <w:proofErr w:type="spellEnd"/>
      <w:r>
        <w:rPr>
          <w:rFonts w:ascii="Times New Roman" w:hAnsi="Times New Roman" w:cs="Times New Roman" w:hint="eastAsia"/>
        </w:rPr>
        <w:t>, et al., 2013, p. iii</w:t>
      </w:r>
      <w:r>
        <w:rPr>
          <w:rFonts w:ascii="Times New Roman" w:hAnsi="Times New Roman" w:cs="Times New Roman" w:hint="eastAsia"/>
        </w:rPr>
        <w:t>）。</w:t>
      </w:r>
    </w:p>
    <w:p w:rsidR="00EC0651" w:rsidRPr="00AF4C12" w:rsidRDefault="00EC0651">
      <w:pPr>
        <w:rPr>
          <w:rFonts w:ascii="Times New Roman" w:hAnsi="Times New Roman" w:cs="Times New Roman"/>
        </w:rPr>
      </w:pPr>
    </w:p>
    <w:p w:rsidR="00AA73AF" w:rsidRDefault="00A120CD">
      <w:pPr>
        <w:rPr>
          <w:rFonts w:ascii="Times New Roman" w:hAnsi="Times New Roman" w:cs="Times New Roman"/>
          <w:b/>
          <w:bCs/>
        </w:rPr>
      </w:pPr>
      <w:r>
        <w:rPr>
          <w:rFonts w:ascii="Times New Roman" w:hAnsi="Times New Roman" w:cs="Times New Roman" w:hint="eastAsia"/>
          <w:b/>
          <w:bCs/>
        </w:rPr>
        <w:t>Ⅲ</w:t>
      </w:r>
      <w:r w:rsidR="00E471FE">
        <w:rPr>
          <w:rFonts w:ascii="Times New Roman" w:hAnsi="Times New Roman" w:cs="Times New Roman" w:hint="eastAsia"/>
          <w:b/>
          <w:bCs/>
        </w:rPr>
        <w:t>.</w:t>
      </w:r>
      <w:r w:rsidR="00E471FE">
        <w:rPr>
          <w:rFonts w:ascii="Times New Roman" w:hAnsi="Times New Roman" w:cs="Times New Roman" w:hint="eastAsia"/>
          <w:b/>
          <w:bCs/>
        </w:rPr>
        <w:t xml:space="preserve">　</w:t>
      </w:r>
      <w:r w:rsidR="008E2B95" w:rsidRPr="003D2124">
        <w:rPr>
          <w:rFonts w:ascii="Times New Roman" w:hAnsi="Times New Roman" w:cs="Times New Roman"/>
          <w:b/>
          <w:bCs/>
        </w:rPr>
        <w:t>スロヴェニア</w:t>
      </w:r>
      <w:r w:rsidR="00E471FE">
        <w:rPr>
          <w:rFonts w:ascii="Times New Roman" w:hAnsi="Times New Roman" w:cs="Times New Roman" w:hint="eastAsia"/>
          <w:b/>
          <w:bCs/>
        </w:rPr>
        <w:t>の事例</w:t>
      </w:r>
    </w:p>
    <w:p w:rsidR="008E2B95" w:rsidRPr="003D2124" w:rsidRDefault="008E2B95">
      <w:pPr>
        <w:rPr>
          <w:rFonts w:ascii="Times New Roman" w:hAnsi="Times New Roman" w:cs="Times New Roman"/>
        </w:rPr>
      </w:pPr>
      <w:r w:rsidRPr="003D2124">
        <w:rPr>
          <w:rFonts w:ascii="Times New Roman" w:hAnsi="Times New Roman" w:cs="Times New Roman"/>
          <w:b/>
          <w:bCs/>
        </w:rPr>
        <w:t>サクセス・ストーリー</w:t>
      </w:r>
    </w:p>
    <w:p w:rsidR="00714523" w:rsidRDefault="00714523" w:rsidP="00714523">
      <w:pPr>
        <w:ind w:firstLineChars="100" w:firstLine="210"/>
        <w:rPr>
          <w:rFonts w:ascii="Times New Roman" w:cs="Times New Roman"/>
        </w:rPr>
      </w:pPr>
      <w:r>
        <w:rPr>
          <w:rFonts w:ascii="Times New Roman" w:cs="Times New Roman" w:hint="eastAsia"/>
        </w:rPr>
        <w:t>スロヴェニアはユニークなポスト社会主義国である。この国は</w:t>
      </w:r>
      <w:r>
        <w:rPr>
          <w:rFonts w:ascii="Times New Roman" w:cs="Times New Roman" w:hint="eastAsia"/>
        </w:rPr>
        <w:t>1990</w:t>
      </w:r>
      <w:r>
        <w:rPr>
          <w:rFonts w:ascii="Times New Roman" w:cs="Times New Roman" w:hint="eastAsia"/>
        </w:rPr>
        <w:t>年代初めに二重の移行を実施した。すなわち、自主管理社会主義経済から資本主義的市場経済への、そして地域経済から国民経済への移行である。</w:t>
      </w:r>
      <w:r>
        <w:rPr>
          <w:rFonts w:ascii="Times New Roman" w:cs="Times New Roman" w:hint="eastAsia"/>
        </w:rPr>
        <w:t>1991</w:t>
      </w:r>
      <w:r>
        <w:rPr>
          <w:rFonts w:ascii="Times New Roman" w:cs="Times New Roman" w:hint="eastAsia"/>
        </w:rPr>
        <w:t>年には独自の通貨トラルを採用した。旧ユーゴから分離独立は平和的には実現できなかった。対外的に比較的保護されてきた旧ユーゴ市場を喪失した。以前から西側との経済交流は強かったが、失った旧ユーゴ市場を埋め合わせるため、いっそう西側市場に食い込む努力をせざるを得なかった。</w:t>
      </w:r>
    </w:p>
    <w:p w:rsidR="00714523" w:rsidRDefault="00714523" w:rsidP="00714523">
      <w:pPr>
        <w:ind w:firstLineChars="100" w:firstLine="210"/>
        <w:rPr>
          <w:rFonts w:ascii="Times New Roman" w:hAnsi="Times New Roman" w:cs="Times New Roman"/>
        </w:rPr>
      </w:pPr>
      <w:r>
        <w:rPr>
          <w:rFonts w:ascii="Times New Roman" w:cs="Times New Roman" w:hint="eastAsia"/>
        </w:rPr>
        <w:t>移行に際して</w:t>
      </w:r>
      <w:r w:rsidRPr="004A6743">
        <w:rPr>
          <w:rFonts w:ascii="Times New Roman" w:hAnsi="Times New Roman" w:cs="Times New Roman"/>
        </w:rPr>
        <w:t>IMF</w:t>
      </w:r>
      <w:r w:rsidRPr="004A6743">
        <w:rPr>
          <w:rFonts w:ascii="Times New Roman" w:hAnsi="Times New Roman" w:cs="Times New Roman"/>
        </w:rPr>
        <w:t>や世界銀行</w:t>
      </w:r>
      <w:r>
        <w:rPr>
          <w:rFonts w:ascii="Times New Roman" w:hAnsi="Times New Roman" w:cs="Times New Roman" w:hint="eastAsia"/>
        </w:rPr>
        <w:t>のような国際金融機関のアドバイスには</w:t>
      </w:r>
      <w:r>
        <w:rPr>
          <w:rFonts w:ascii="Times New Roman" w:cs="Times New Roman" w:hint="eastAsia"/>
        </w:rPr>
        <w:t>必ずしも</w:t>
      </w:r>
      <w:r w:rsidRPr="004A6743">
        <w:rPr>
          <w:rFonts w:ascii="Times New Roman" w:hAnsi="Times New Roman" w:cs="Times New Roman"/>
        </w:rPr>
        <w:t>忠実ではなかった。</w:t>
      </w:r>
      <w:r>
        <w:rPr>
          <w:rFonts w:ascii="Times New Roman" w:cs="Times New Roman" w:hint="eastAsia"/>
        </w:rPr>
        <w:t>旧社会主義諸国は市場経済への転換に際して、いずれも転換不況を経験したが、この国では転換不況は比較的軽く、国家財政や経常収支の状況も深刻ではなかった。それゆえ、</w:t>
      </w:r>
      <w:r>
        <w:rPr>
          <w:rFonts w:ascii="Times New Roman" w:cs="Times New Roman" w:hint="eastAsia"/>
        </w:rPr>
        <w:t>IMF</w:t>
      </w:r>
      <w:r>
        <w:rPr>
          <w:rFonts w:ascii="Times New Roman" w:cs="Times New Roman" w:hint="eastAsia"/>
        </w:rPr>
        <w:t>からの圧力にはそれほど影響を受けることはなく、</w:t>
      </w:r>
      <w:r>
        <w:rPr>
          <w:rFonts w:ascii="Times New Roman" w:hAnsi="Times New Roman" w:cs="Times New Roman" w:hint="eastAsia"/>
        </w:rPr>
        <w:t>漸進主義的アプローチをとることができた</w:t>
      </w:r>
      <w:r>
        <w:rPr>
          <w:rFonts w:ascii="Times New Roman" w:cs="Times New Roman" w:hint="eastAsia"/>
        </w:rPr>
        <w:t>（</w:t>
      </w:r>
      <w:r>
        <w:rPr>
          <w:rFonts w:ascii="Times New Roman" w:cs="Times New Roman" w:hint="eastAsia"/>
        </w:rPr>
        <w:t xml:space="preserve">Crowley and </w:t>
      </w:r>
      <w:proofErr w:type="spellStart"/>
      <w:r>
        <w:rPr>
          <w:rFonts w:ascii="Times New Roman" w:cs="Times New Roman" w:hint="eastAsia"/>
        </w:rPr>
        <w:t>Stanojevic</w:t>
      </w:r>
      <w:proofErr w:type="spellEnd"/>
      <w:r>
        <w:rPr>
          <w:rFonts w:ascii="Times New Roman" w:cs="Times New Roman" w:hint="eastAsia"/>
        </w:rPr>
        <w:t>, 2011, p. 8</w:t>
      </w:r>
      <w:r>
        <w:rPr>
          <w:rFonts w:ascii="Times New Roman" w:cs="Times New Roman" w:hint="eastAsia"/>
        </w:rPr>
        <w:t>）。</w:t>
      </w:r>
    </w:p>
    <w:p w:rsidR="00714523" w:rsidRDefault="00714523" w:rsidP="00714523">
      <w:pPr>
        <w:rPr>
          <w:rFonts w:ascii="Times New Roman" w:hAnsi="Times New Roman" w:cs="Times New Roman"/>
        </w:rPr>
      </w:pPr>
      <w:r>
        <w:rPr>
          <w:rFonts w:ascii="Times New Roman" w:hAnsi="Times New Roman" w:cs="Times New Roman" w:hint="eastAsia"/>
        </w:rPr>
        <w:t xml:space="preserve">　</w:t>
      </w:r>
      <w:r>
        <w:rPr>
          <w:rFonts w:ascii="Times New Roman" w:cs="Times New Roman" w:hint="eastAsia"/>
        </w:rPr>
        <w:t>この国は「ネオ・コーポラティスト的」で「調整された市場経済」と呼ばれる。そう呼ばれるのは、ポスト共産主義国で</w:t>
      </w:r>
      <w:r>
        <w:rPr>
          <w:rFonts w:ascii="Times New Roman" w:cs="Times New Roman" w:hint="eastAsia"/>
        </w:rPr>
        <w:t>EU</w:t>
      </w:r>
      <w:r>
        <w:rPr>
          <w:rFonts w:ascii="Times New Roman" w:cs="Times New Roman" w:hint="eastAsia"/>
        </w:rPr>
        <w:t>に加盟した</w:t>
      </w:r>
      <w:r>
        <w:rPr>
          <w:rFonts w:ascii="Times New Roman" w:cs="Times New Roman" w:hint="eastAsia"/>
        </w:rPr>
        <w:t>10</w:t>
      </w:r>
      <w:r>
        <w:rPr>
          <w:rFonts w:ascii="Times New Roman" w:cs="Times New Roman" w:hint="eastAsia"/>
        </w:rPr>
        <w:t>カ国の中で、スロヴェニアだけである。このような特徴をもつ資本主義国が登場した事情をクロウリーとスタノエヴィチは次のように説明する</w:t>
      </w:r>
      <w:r>
        <w:rPr>
          <w:rStyle w:val="ae"/>
          <w:rFonts w:ascii="Times New Roman" w:cs="Times New Roman"/>
        </w:rPr>
        <w:footnoteReference w:id="11"/>
      </w:r>
      <w:r>
        <w:rPr>
          <w:rFonts w:ascii="Times New Roman" w:cs="Times New Roman" w:hint="eastAsia"/>
        </w:rPr>
        <w:t>。</w:t>
      </w:r>
      <w:r>
        <w:rPr>
          <w:rFonts w:ascii="Times New Roman" w:hAnsi="Times New Roman" w:cs="Times New Roman" w:hint="eastAsia"/>
        </w:rPr>
        <w:t>自主管理社会主義の伝統を受け継ぎ、労働組合の組織率が比較的高く、組合の動員力は強かった。</w:t>
      </w:r>
      <w:r>
        <w:rPr>
          <w:rFonts w:ascii="Times New Roman" w:hAnsi="Times New Roman" w:cs="Times New Roman" w:hint="eastAsia"/>
        </w:rPr>
        <w:t>1992</w:t>
      </w:r>
      <w:r>
        <w:rPr>
          <w:rFonts w:ascii="Times New Roman" w:hAnsi="Times New Roman" w:cs="Times New Roman" w:hint="eastAsia"/>
        </w:rPr>
        <w:t>年</w:t>
      </w:r>
      <w:r>
        <w:rPr>
          <w:rFonts w:ascii="Times New Roman" w:cs="Times New Roman" w:hint="eastAsia"/>
        </w:rPr>
        <w:t>、年率</w:t>
      </w:r>
      <w:r>
        <w:rPr>
          <w:rFonts w:ascii="Times New Roman" w:cs="Times New Roman" w:hint="eastAsia"/>
        </w:rPr>
        <w:t>200%</w:t>
      </w:r>
      <w:r>
        <w:rPr>
          <w:rFonts w:ascii="Times New Roman" w:cs="Times New Roman" w:hint="eastAsia"/>
        </w:rPr>
        <w:t>近いインフレを克服するために、中道右派政権（</w:t>
      </w:r>
      <w:r>
        <w:rPr>
          <w:rFonts w:ascii="Times New Roman" w:cs="Times New Roman" w:hint="eastAsia"/>
        </w:rPr>
        <w:t>Demos</w:t>
      </w:r>
      <w:r>
        <w:rPr>
          <w:rFonts w:ascii="Times New Roman" w:cs="Times New Roman" w:hint="eastAsia"/>
        </w:rPr>
        <w:t>）は賃金を凍結し、団体協定を停止し、社会的安定に関する協定草案を一方的に発表した。これに憤慨したスロヴェニア自由労働組合連盟は</w:t>
      </w:r>
      <w:r>
        <w:rPr>
          <w:rFonts w:ascii="Times New Roman" w:cs="Times New Roman" w:hint="eastAsia"/>
        </w:rPr>
        <w:t>1992</w:t>
      </w:r>
      <w:r>
        <w:rPr>
          <w:rFonts w:ascii="Times New Roman" w:cs="Times New Roman" w:hint="eastAsia"/>
        </w:rPr>
        <w:t>年</w:t>
      </w:r>
      <w:r>
        <w:rPr>
          <w:rFonts w:ascii="Times New Roman" w:cs="Times New Roman" w:hint="eastAsia"/>
        </w:rPr>
        <w:t>3</w:t>
      </w:r>
      <w:r>
        <w:rPr>
          <w:rFonts w:ascii="Times New Roman" w:cs="Times New Roman" w:hint="eastAsia"/>
        </w:rPr>
        <w:t>月</w:t>
      </w:r>
      <w:r>
        <w:rPr>
          <w:rFonts w:ascii="Times New Roman" w:cs="Times New Roman" w:hint="eastAsia"/>
        </w:rPr>
        <w:t>18</w:t>
      </w:r>
      <w:r>
        <w:rPr>
          <w:rFonts w:ascii="Times New Roman" w:cs="Times New Roman" w:hint="eastAsia"/>
        </w:rPr>
        <w:t>日に大規模な警告ストを組織した。以後、ストライキの波が続いた。その結果、政府は賃金凍結を解除し、</w:t>
      </w:r>
      <w:r>
        <w:rPr>
          <w:rFonts w:ascii="Times New Roman" w:cs="Times New Roman" w:hint="eastAsia"/>
        </w:rPr>
        <w:t>1</w:t>
      </w:r>
      <w:r>
        <w:rPr>
          <w:rFonts w:ascii="Times New Roman" w:cs="Times New Roman" w:hint="eastAsia"/>
        </w:rPr>
        <w:t>か月後退陣に追い込まれ、中道左派のスロヴェニア自由党（党首はヤネズ・ドルノフシェク）を中心とする連立の暫定政権が登場した。</w:t>
      </w:r>
      <w:r>
        <w:rPr>
          <w:rFonts w:ascii="Times New Roman" w:cs="Times New Roman" w:hint="eastAsia"/>
        </w:rPr>
        <w:t>1992</w:t>
      </w:r>
      <w:r>
        <w:rPr>
          <w:rFonts w:ascii="Times New Roman" w:cs="Times New Roman" w:hint="eastAsia"/>
        </w:rPr>
        <w:t>年</w:t>
      </w:r>
      <w:r>
        <w:rPr>
          <w:rFonts w:ascii="Times New Roman" w:cs="Times New Roman" w:hint="eastAsia"/>
        </w:rPr>
        <w:t>3</w:t>
      </w:r>
      <w:r>
        <w:rPr>
          <w:rFonts w:ascii="Times New Roman" w:cs="Times New Roman" w:hint="eastAsia"/>
        </w:rPr>
        <w:t>月のゼネストは、インフレの問題は労働組合の事前の同意なしには解決できないだろうというシグナルを将来のすべて政府に送った。政府は、労働組合や経営者と一緒に中央レベルでの交渉で賃金制約を設ける政策を追求し、</w:t>
      </w:r>
      <w:r>
        <w:rPr>
          <w:rFonts w:ascii="Times New Roman" w:cs="Times New Roman" w:hint="eastAsia"/>
        </w:rPr>
        <w:t>1994</w:t>
      </w:r>
      <w:r>
        <w:rPr>
          <w:rFonts w:ascii="Times New Roman" w:cs="Times New Roman" w:hint="eastAsia"/>
        </w:rPr>
        <w:t>年の最初の社会協約で、その年の所得政策のためのパラメーターを設定</w:t>
      </w:r>
      <w:r>
        <w:rPr>
          <w:rFonts w:ascii="Times New Roman" w:cs="Times New Roman" w:hint="eastAsia"/>
        </w:rPr>
        <w:lastRenderedPageBreak/>
        <w:t>しただけでなく、社会的対話のプロセスを制度化する経済社会評議会を設置した。</w:t>
      </w:r>
      <w:r>
        <w:rPr>
          <w:rFonts w:ascii="Times New Roman" w:hAnsi="Times New Roman" w:cs="Times New Roman" w:hint="eastAsia"/>
        </w:rPr>
        <w:t>企業の経営者は法律で経済会議所に加盟することが義務づけられていたので、組織率はほぼ</w:t>
      </w:r>
      <w:r>
        <w:rPr>
          <w:rFonts w:ascii="Times New Roman" w:hAnsi="Times New Roman" w:cs="Times New Roman" w:hint="eastAsia"/>
        </w:rPr>
        <w:t>100%</w:t>
      </w:r>
      <w:r>
        <w:rPr>
          <w:rFonts w:ascii="Times New Roman" w:hAnsi="Times New Roman" w:cs="Times New Roman" w:hint="eastAsia"/>
        </w:rPr>
        <w:t>であった。彼らは中央での交渉による賃金レベルの決定という方式を次善のオプションとして受け入れた。コーポラティスト的メカニズムの制度化は、中道左派が</w:t>
      </w:r>
      <w:r>
        <w:rPr>
          <w:rFonts w:ascii="Times New Roman" w:hAnsi="Times New Roman" w:cs="Times New Roman" w:hint="eastAsia"/>
        </w:rPr>
        <w:t>12</w:t>
      </w:r>
      <w:r>
        <w:rPr>
          <w:rFonts w:ascii="Times New Roman" w:hAnsi="Times New Roman" w:cs="Times New Roman" w:hint="eastAsia"/>
        </w:rPr>
        <w:t>年間も権力にとどまるのを助けた（</w:t>
      </w:r>
      <w:r>
        <w:rPr>
          <w:rFonts w:ascii="Times New Roman" w:cs="Times New Roman" w:hint="eastAsia"/>
        </w:rPr>
        <w:t xml:space="preserve">Crowley and </w:t>
      </w:r>
      <w:proofErr w:type="spellStart"/>
      <w:r>
        <w:rPr>
          <w:rFonts w:ascii="Times New Roman" w:cs="Times New Roman" w:hint="eastAsia"/>
        </w:rPr>
        <w:t>Stanojevic</w:t>
      </w:r>
      <w:proofErr w:type="spellEnd"/>
      <w:r>
        <w:rPr>
          <w:rFonts w:ascii="Times New Roman" w:cs="Times New Roman" w:hint="eastAsia"/>
        </w:rPr>
        <w:t>, 2011, p.14</w:t>
      </w:r>
      <w:r>
        <w:rPr>
          <w:rFonts w:ascii="Times New Roman" w:hAnsi="Times New Roman" w:cs="Times New Roman" w:hint="eastAsia"/>
        </w:rPr>
        <w:t>）。</w:t>
      </w:r>
      <w:r w:rsidRPr="004A6743">
        <w:rPr>
          <w:rFonts w:ascii="Times New Roman" w:hAnsi="Times New Roman" w:cs="Times New Roman"/>
        </w:rPr>
        <w:t>これは、</w:t>
      </w:r>
      <w:r>
        <w:rPr>
          <w:rFonts w:ascii="Times New Roman" w:hAnsi="Times New Roman" w:cs="Times New Roman" w:hint="eastAsia"/>
        </w:rPr>
        <w:t>当事者が</w:t>
      </w:r>
      <w:r w:rsidRPr="004A6743">
        <w:rPr>
          <w:rFonts w:ascii="Times New Roman" w:hAnsi="Times New Roman" w:cs="Times New Roman"/>
        </w:rPr>
        <w:t>穏やかな賃金上昇に合意し、インフレ率</w:t>
      </w:r>
      <w:r>
        <w:rPr>
          <w:rFonts w:ascii="Times New Roman" w:hAnsi="Times New Roman" w:cs="Times New Roman" w:hint="eastAsia"/>
        </w:rPr>
        <w:t>の</w:t>
      </w:r>
      <w:r w:rsidRPr="004A6743">
        <w:rPr>
          <w:rFonts w:ascii="Times New Roman" w:hAnsi="Times New Roman" w:cs="Times New Roman"/>
        </w:rPr>
        <w:t>引き下げを可能にした。</w:t>
      </w:r>
      <w:r>
        <w:rPr>
          <w:rFonts w:ascii="Times New Roman" w:hAnsi="Times New Roman" w:cs="Times New Roman" w:hint="eastAsia"/>
        </w:rPr>
        <w:t>これにより、その後スロヴェニアはいち早くマーストリヒト収斂基準を満たすことができ、早期の</w:t>
      </w:r>
      <w:r w:rsidRPr="004A6743">
        <w:rPr>
          <w:rFonts w:ascii="Times New Roman" w:hAnsi="Times New Roman" w:cs="Times New Roman"/>
        </w:rPr>
        <w:t>EMU</w:t>
      </w:r>
      <w:r w:rsidRPr="004A6743">
        <w:rPr>
          <w:rFonts w:ascii="Times New Roman" w:hAnsi="Times New Roman" w:cs="Times New Roman"/>
        </w:rPr>
        <w:t>加盟</w:t>
      </w:r>
      <w:r>
        <w:rPr>
          <w:rFonts w:ascii="Times New Roman" w:hAnsi="Times New Roman" w:cs="Times New Roman" w:hint="eastAsia"/>
        </w:rPr>
        <w:t>が可能になった</w:t>
      </w:r>
      <w:r w:rsidRPr="004A6743">
        <w:rPr>
          <w:rFonts w:ascii="Times New Roman" w:hAnsi="Times New Roman" w:cs="Times New Roman"/>
        </w:rPr>
        <w:t>。</w:t>
      </w:r>
    </w:p>
    <w:p w:rsidR="008E2B95" w:rsidRPr="003D2124" w:rsidRDefault="00C529E0" w:rsidP="003B2263">
      <w:pPr>
        <w:ind w:firstLineChars="100" w:firstLine="210"/>
        <w:rPr>
          <w:rFonts w:ascii="Times New Roman" w:hAnsi="Times New Roman" w:cs="Times New Roman"/>
        </w:rPr>
      </w:pPr>
      <w:r>
        <w:rPr>
          <w:rFonts w:ascii="Times New Roman" w:hAnsi="Times New Roman" w:cs="Times New Roman" w:hint="eastAsia"/>
        </w:rPr>
        <w:t>この国の</w:t>
      </w:r>
      <w:r w:rsidR="008E2B95" w:rsidRPr="003D2124">
        <w:rPr>
          <w:rFonts w:ascii="Times New Roman" w:hAnsi="Times New Roman" w:cs="Times New Roman"/>
        </w:rPr>
        <w:t>技術レベルは比較的高く、国際競争力も比較的高い。生産的資産の外国への売却には慎重</w:t>
      </w:r>
      <w:r w:rsidR="00E471FE">
        <w:rPr>
          <w:rFonts w:ascii="Times New Roman" w:hAnsi="Times New Roman" w:cs="Times New Roman" w:hint="eastAsia"/>
        </w:rPr>
        <w:t>であった</w:t>
      </w:r>
      <w:r w:rsidR="008E2B95" w:rsidRPr="003D2124">
        <w:rPr>
          <w:rFonts w:ascii="Times New Roman" w:hAnsi="Times New Roman" w:cs="Times New Roman"/>
        </w:rPr>
        <w:t>。</w:t>
      </w:r>
      <w:r w:rsidR="008E2B95" w:rsidRPr="003D2124">
        <w:rPr>
          <w:rFonts w:ascii="Times New Roman" w:hAnsi="Times New Roman" w:cs="Times New Roman"/>
        </w:rPr>
        <w:t>FDI</w:t>
      </w:r>
      <w:r w:rsidR="008E2B95" w:rsidRPr="003D2124">
        <w:rPr>
          <w:rFonts w:ascii="Times New Roman" w:hAnsi="Times New Roman" w:cs="Times New Roman"/>
        </w:rPr>
        <w:t>の誘致にはそれほど熱心ではなく、実際、対内</w:t>
      </w:r>
      <w:r w:rsidR="008E2B95" w:rsidRPr="003D2124">
        <w:rPr>
          <w:rFonts w:ascii="Times New Roman" w:hAnsi="Times New Roman" w:cs="Times New Roman"/>
        </w:rPr>
        <w:t>FDI</w:t>
      </w:r>
      <w:r w:rsidR="008E2B95" w:rsidRPr="003D2124">
        <w:rPr>
          <w:rFonts w:ascii="Times New Roman" w:hAnsi="Times New Roman" w:cs="Times New Roman"/>
        </w:rPr>
        <w:t>の額は比較的少ない。むしろ対外</w:t>
      </w:r>
      <w:r w:rsidR="008E2B95" w:rsidRPr="003D2124">
        <w:rPr>
          <w:rFonts w:ascii="Times New Roman" w:hAnsi="Times New Roman" w:cs="Times New Roman"/>
        </w:rPr>
        <w:t>FDI</w:t>
      </w:r>
      <w:r w:rsidR="008E2B95" w:rsidRPr="003D2124">
        <w:rPr>
          <w:rFonts w:ascii="Times New Roman" w:hAnsi="Times New Roman" w:cs="Times New Roman"/>
        </w:rPr>
        <w:t>に積極的</w:t>
      </w:r>
      <w:r w:rsidR="00E471FE">
        <w:rPr>
          <w:rFonts w:ascii="Times New Roman" w:hAnsi="Times New Roman" w:cs="Times New Roman" w:hint="eastAsia"/>
        </w:rPr>
        <w:t>であった</w:t>
      </w:r>
      <w:r w:rsidR="008E2B95" w:rsidRPr="003D2124">
        <w:rPr>
          <w:rFonts w:ascii="Times New Roman" w:hAnsi="Times New Roman" w:cs="Times New Roman"/>
        </w:rPr>
        <w:t>。とくに</w:t>
      </w:r>
      <w:r w:rsidR="008E2B95" w:rsidRPr="003D2124">
        <w:rPr>
          <w:rFonts w:ascii="Times New Roman" w:hAnsi="Times New Roman" w:cs="Times New Roman"/>
        </w:rPr>
        <w:t>1999</w:t>
      </w:r>
      <w:r w:rsidR="008E2B95" w:rsidRPr="003D2124">
        <w:rPr>
          <w:rFonts w:ascii="Times New Roman" w:hAnsi="Times New Roman" w:cs="Times New Roman"/>
        </w:rPr>
        <w:t>年のコソボ戦争終了後西バルカンが安定する兆しを見せると、この地域へ積極的に直接投資。この国では概して、対内</w:t>
      </w:r>
      <w:r w:rsidR="008E2B95" w:rsidRPr="003D2124">
        <w:rPr>
          <w:rFonts w:ascii="Times New Roman" w:hAnsi="Times New Roman" w:cs="Times New Roman"/>
        </w:rPr>
        <w:t>FDI</w:t>
      </w:r>
      <w:r w:rsidR="008E2B95" w:rsidRPr="003D2124">
        <w:rPr>
          <w:rFonts w:ascii="Times New Roman" w:hAnsi="Times New Roman" w:cs="Times New Roman"/>
        </w:rPr>
        <w:t>に対しては比較的警戒心が強かった。</w:t>
      </w:r>
      <w:r w:rsidR="008E2B95" w:rsidRPr="003D2124">
        <w:rPr>
          <w:rFonts w:ascii="Times New Roman" w:hAnsi="Times New Roman" w:cs="Times New Roman"/>
        </w:rPr>
        <w:t>2002</w:t>
      </w:r>
      <w:r w:rsidR="008E2B95" w:rsidRPr="003D2124">
        <w:rPr>
          <w:rFonts w:ascii="Times New Roman" w:hAnsi="Times New Roman" w:cs="Times New Roman"/>
        </w:rPr>
        <w:t>年には例外的に多額の</w:t>
      </w:r>
      <w:r w:rsidR="008E2B95" w:rsidRPr="003D2124">
        <w:rPr>
          <w:rFonts w:ascii="Times New Roman" w:hAnsi="Times New Roman" w:cs="Times New Roman"/>
        </w:rPr>
        <w:t>FDI</w:t>
      </w:r>
      <w:r w:rsidR="008E2B95" w:rsidRPr="003D2124">
        <w:rPr>
          <w:rFonts w:ascii="Times New Roman" w:hAnsi="Times New Roman" w:cs="Times New Roman"/>
        </w:rPr>
        <w:t>が流入したが、この年を別とすれば、</w:t>
      </w:r>
      <w:r w:rsidR="008E2B95" w:rsidRPr="003D2124">
        <w:rPr>
          <w:rFonts w:ascii="Times New Roman" w:hAnsi="Times New Roman" w:cs="Times New Roman"/>
        </w:rPr>
        <w:t>2007</w:t>
      </w:r>
      <w:r w:rsidR="008E2B95" w:rsidRPr="003D2124">
        <w:rPr>
          <w:rFonts w:ascii="Times New Roman" w:hAnsi="Times New Roman" w:cs="Times New Roman"/>
        </w:rPr>
        <w:t>年までは対外</w:t>
      </w:r>
      <w:r w:rsidR="008E2B95" w:rsidRPr="003D2124">
        <w:rPr>
          <w:rFonts w:ascii="Times New Roman" w:hAnsi="Times New Roman" w:cs="Times New Roman"/>
        </w:rPr>
        <w:t>FDI</w:t>
      </w:r>
      <w:r w:rsidR="008E2B95" w:rsidRPr="003D2124">
        <w:rPr>
          <w:rFonts w:ascii="Times New Roman" w:hAnsi="Times New Roman" w:cs="Times New Roman"/>
        </w:rPr>
        <w:t>が対内</w:t>
      </w:r>
      <w:r w:rsidR="008E2B95" w:rsidRPr="003D2124">
        <w:rPr>
          <w:rFonts w:ascii="Times New Roman" w:hAnsi="Times New Roman" w:cs="Times New Roman"/>
        </w:rPr>
        <w:t>FDI</w:t>
      </w:r>
      <w:r w:rsidR="008E2B95" w:rsidRPr="003D2124">
        <w:rPr>
          <w:rFonts w:ascii="Times New Roman" w:hAnsi="Times New Roman" w:cs="Times New Roman"/>
        </w:rPr>
        <w:t>を上回る。多くの人々が銀行や企業の</w:t>
      </w:r>
      <w:r w:rsidR="008E2B95" w:rsidRPr="003D2124">
        <w:rPr>
          <w:rFonts w:ascii="Times New Roman" w:hAnsi="Times New Roman" w:cs="Times New Roman"/>
        </w:rPr>
        <w:t>R&amp;D</w:t>
      </w:r>
      <w:r w:rsidR="008E2B95" w:rsidRPr="003D2124">
        <w:rPr>
          <w:rFonts w:ascii="Times New Roman" w:hAnsi="Times New Roman" w:cs="Times New Roman"/>
        </w:rPr>
        <w:t>部門は自国の手中に維持することの重要性を認識</w:t>
      </w:r>
      <w:r w:rsidR="00F817C5">
        <w:rPr>
          <w:rFonts w:ascii="Times New Roman" w:hAnsi="Times New Roman" w:cs="Times New Roman" w:hint="eastAsia"/>
        </w:rPr>
        <w:t>していた</w:t>
      </w:r>
      <w:r w:rsidR="008E2B95" w:rsidRPr="003D2124">
        <w:rPr>
          <w:rFonts w:ascii="Times New Roman" w:hAnsi="Times New Roman" w:cs="Times New Roman"/>
        </w:rPr>
        <w:t>。</w:t>
      </w:r>
    </w:p>
    <w:p w:rsidR="00E471FE" w:rsidRDefault="00E471FE" w:rsidP="00605516">
      <w:pPr>
        <w:ind w:firstLineChars="100" w:firstLine="210"/>
        <w:rPr>
          <w:rFonts w:ascii="Times New Roman" w:hAnsi="Times New Roman" w:cs="Times New Roman"/>
        </w:rPr>
      </w:pPr>
      <w:r w:rsidRPr="003D2124">
        <w:rPr>
          <w:rFonts w:ascii="Times New Roman" w:hAnsi="Times New Roman" w:cs="Times New Roman"/>
        </w:rPr>
        <w:t>人口</w:t>
      </w:r>
      <w:r w:rsidRPr="003D2124">
        <w:rPr>
          <w:rFonts w:ascii="Times New Roman" w:hAnsi="Times New Roman" w:cs="Times New Roman"/>
        </w:rPr>
        <w:t>200</w:t>
      </w:r>
      <w:r w:rsidRPr="003D2124">
        <w:rPr>
          <w:rFonts w:ascii="Times New Roman" w:hAnsi="Times New Roman" w:cs="Times New Roman"/>
        </w:rPr>
        <w:t>万の小国</w:t>
      </w:r>
      <w:r>
        <w:rPr>
          <w:rFonts w:ascii="Times New Roman" w:hAnsi="Times New Roman" w:cs="Times New Roman" w:hint="eastAsia"/>
        </w:rPr>
        <w:t>であるので当然のことだが、</w:t>
      </w:r>
      <w:r w:rsidRPr="003D2124">
        <w:rPr>
          <w:rFonts w:ascii="Times New Roman" w:hAnsi="Times New Roman" w:cs="Times New Roman"/>
        </w:rPr>
        <w:t>貿易依存度は高い。貿易相手国は大半が</w:t>
      </w:r>
      <w:r w:rsidRPr="003D2124">
        <w:rPr>
          <w:rFonts w:ascii="Times New Roman" w:hAnsi="Times New Roman" w:cs="Times New Roman"/>
        </w:rPr>
        <w:t>EU</w:t>
      </w:r>
      <w:r w:rsidRPr="003D2124">
        <w:rPr>
          <w:rFonts w:ascii="Times New Roman" w:hAnsi="Times New Roman" w:cs="Times New Roman"/>
        </w:rPr>
        <w:t>諸国</w:t>
      </w:r>
      <w:r>
        <w:rPr>
          <w:rFonts w:ascii="Times New Roman" w:hAnsi="Times New Roman" w:cs="Times New Roman" w:hint="eastAsia"/>
        </w:rPr>
        <w:t>である</w:t>
      </w:r>
      <w:r w:rsidRPr="003D2124">
        <w:rPr>
          <w:rFonts w:ascii="Times New Roman" w:hAnsi="Times New Roman" w:cs="Times New Roman"/>
        </w:rPr>
        <w:t>。</w:t>
      </w:r>
      <w:r>
        <w:rPr>
          <w:rFonts w:ascii="Times New Roman" w:hAnsi="Times New Roman" w:cs="Times New Roman" w:hint="eastAsia"/>
        </w:rPr>
        <w:t>2010</w:t>
      </w:r>
      <w:r>
        <w:rPr>
          <w:rFonts w:ascii="Times New Roman" w:hAnsi="Times New Roman" w:cs="Times New Roman" w:hint="eastAsia"/>
        </w:rPr>
        <w:t>年には、輸出総額の</w:t>
      </w:r>
      <w:r>
        <w:rPr>
          <w:rFonts w:ascii="Times New Roman" w:hAnsi="Times New Roman" w:cs="Times New Roman" w:hint="eastAsia"/>
        </w:rPr>
        <w:t>70.9</w:t>
      </w:r>
      <w:r>
        <w:rPr>
          <w:rFonts w:ascii="Times New Roman" w:hAnsi="Times New Roman" w:cs="Times New Roman" w:hint="eastAsia"/>
        </w:rPr>
        <w:t>％は</w:t>
      </w:r>
      <w:r>
        <w:rPr>
          <w:rFonts w:ascii="Times New Roman" w:hAnsi="Times New Roman" w:cs="Times New Roman" w:hint="eastAsia"/>
        </w:rPr>
        <w:t>EU-27</w:t>
      </w:r>
      <w:r>
        <w:rPr>
          <w:rFonts w:ascii="Times New Roman" w:hAnsi="Times New Roman" w:cs="Times New Roman" w:hint="eastAsia"/>
        </w:rPr>
        <w:t>向けであり、輸入総額の</w:t>
      </w:r>
      <w:r>
        <w:rPr>
          <w:rFonts w:ascii="Times New Roman" w:hAnsi="Times New Roman" w:cs="Times New Roman" w:hint="eastAsia"/>
        </w:rPr>
        <w:t>76.8</w:t>
      </w:r>
      <w:r>
        <w:rPr>
          <w:rFonts w:ascii="Times New Roman" w:hAnsi="Times New Roman" w:cs="Times New Roman" w:hint="eastAsia"/>
        </w:rPr>
        <w:t>％は</w:t>
      </w:r>
      <w:r>
        <w:rPr>
          <w:rFonts w:ascii="Times New Roman" w:hAnsi="Times New Roman" w:cs="Times New Roman" w:hint="eastAsia"/>
        </w:rPr>
        <w:t>EU-27</w:t>
      </w:r>
      <w:r>
        <w:rPr>
          <w:rFonts w:ascii="Times New Roman" w:hAnsi="Times New Roman" w:cs="Times New Roman" w:hint="eastAsia"/>
        </w:rPr>
        <w:t>から来たものであった。この国は</w:t>
      </w:r>
      <w:r w:rsidRPr="003D2124">
        <w:rPr>
          <w:rFonts w:ascii="Times New Roman" w:hAnsi="Times New Roman" w:cs="Times New Roman"/>
        </w:rPr>
        <w:t>工業国</w:t>
      </w:r>
      <w:r>
        <w:rPr>
          <w:rFonts w:ascii="Times New Roman" w:hAnsi="Times New Roman" w:cs="Times New Roman" w:hint="eastAsia"/>
        </w:rPr>
        <w:t>である</w:t>
      </w:r>
      <w:r w:rsidRPr="003D2124">
        <w:rPr>
          <w:rFonts w:ascii="Times New Roman" w:hAnsi="Times New Roman" w:cs="Times New Roman"/>
        </w:rPr>
        <w:t>。</w:t>
      </w:r>
      <w:r>
        <w:rPr>
          <w:rFonts w:ascii="Times New Roman" w:hAnsi="Times New Roman" w:cs="Times New Roman" w:hint="eastAsia"/>
        </w:rPr>
        <w:t>2006</w:t>
      </w:r>
      <w:r>
        <w:rPr>
          <w:rFonts w:ascii="Times New Roman" w:hAnsi="Times New Roman" w:cs="Times New Roman" w:hint="eastAsia"/>
        </w:rPr>
        <w:t>年のデータでは、</w:t>
      </w:r>
      <w:r w:rsidRPr="003D2124">
        <w:rPr>
          <w:rFonts w:ascii="Times New Roman" w:hAnsi="Times New Roman" w:cs="Times New Roman"/>
        </w:rPr>
        <w:t>農林漁業は</w:t>
      </w:r>
      <w:r w:rsidRPr="003D2124">
        <w:rPr>
          <w:rFonts w:ascii="Times New Roman" w:hAnsi="Times New Roman" w:cs="Times New Roman"/>
        </w:rPr>
        <w:t>GDP</w:t>
      </w:r>
      <w:r w:rsidRPr="003D2124">
        <w:rPr>
          <w:rFonts w:ascii="Times New Roman" w:hAnsi="Times New Roman" w:cs="Times New Roman"/>
        </w:rPr>
        <w:t>の</w:t>
      </w:r>
      <w:r w:rsidRPr="003D2124">
        <w:rPr>
          <w:rFonts w:ascii="Times New Roman" w:hAnsi="Times New Roman" w:cs="Times New Roman"/>
        </w:rPr>
        <w:t>2.0%</w:t>
      </w:r>
      <w:r w:rsidRPr="003D2124">
        <w:rPr>
          <w:rFonts w:ascii="Times New Roman" w:hAnsi="Times New Roman" w:cs="Times New Roman"/>
        </w:rPr>
        <w:t>しか生み出していない。工業が</w:t>
      </w:r>
      <w:r w:rsidRPr="003D2124">
        <w:rPr>
          <w:rFonts w:ascii="Times New Roman" w:hAnsi="Times New Roman" w:cs="Times New Roman"/>
        </w:rPr>
        <w:t>24.0</w:t>
      </w:r>
      <w:r w:rsidRPr="003D2124">
        <w:rPr>
          <w:rFonts w:ascii="Times New Roman" w:hAnsi="Times New Roman" w:cs="Times New Roman"/>
        </w:rPr>
        <w:t>％、建設業が</w:t>
      </w:r>
      <w:r w:rsidRPr="003D2124">
        <w:rPr>
          <w:rFonts w:ascii="Times New Roman" w:hAnsi="Times New Roman" w:cs="Times New Roman"/>
        </w:rPr>
        <w:t>5.4%</w:t>
      </w:r>
      <w:r w:rsidRPr="003D2124">
        <w:rPr>
          <w:rFonts w:ascii="Times New Roman" w:hAnsi="Times New Roman" w:cs="Times New Roman"/>
        </w:rPr>
        <w:t>を生み出している。残りは、商業、金融、運輸・通信を含むサービス・セク</w:t>
      </w:r>
      <w:r>
        <w:rPr>
          <w:rFonts w:ascii="Times New Roman" w:hAnsi="Times New Roman" w:cs="Times New Roman"/>
        </w:rPr>
        <w:t>ターによって生み出されたが、貿易財の生産では圧倒的に工業が優位</w:t>
      </w:r>
      <w:r>
        <w:rPr>
          <w:rFonts w:ascii="Times New Roman" w:hAnsi="Times New Roman" w:cs="Times New Roman" w:hint="eastAsia"/>
        </w:rPr>
        <w:t>であり、それは、対</w:t>
      </w:r>
      <w:r>
        <w:rPr>
          <w:rFonts w:ascii="Times New Roman" w:hAnsi="Times New Roman" w:cs="Times New Roman" w:hint="eastAsia"/>
        </w:rPr>
        <w:t>EU</w:t>
      </w:r>
      <w:r>
        <w:rPr>
          <w:rFonts w:ascii="Times New Roman" w:hAnsi="Times New Roman" w:cs="Times New Roman" w:hint="eastAsia"/>
        </w:rPr>
        <w:t>諸国貿易の輸出品目の上位</w:t>
      </w:r>
      <w:r>
        <w:rPr>
          <w:rFonts w:ascii="Times New Roman" w:hAnsi="Times New Roman" w:cs="Times New Roman" w:hint="eastAsia"/>
        </w:rPr>
        <w:t>10</w:t>
      </w:r>
      <w:r>
        <w:rPr>
          <w:rFonts w:ascii="Times New Roman" w:hAnsi="Times New Roman" w:cs="Times New Roman" w:hint="eastAsia"/>
        </w:rPr>
        <w:t>位をすべてを製造業製品が占めていることから分かるであろう。</w:t>
      </w:r>
    </w:p>
    <w:p w:rsidR="00696C37" w:rsidRDefault="00E471FE" w:rsidP="00E471FE">
      <w:pPr>
        <w:ind w:firstLineChars="100" w:firstLine="210"/>
        <w:rPr>
          <w:rFonts w:ascii="Times New Roman" w:hAnsi="Times New Roman" w:cs="Times New Roman"/>
        </w:rPr>
      </w:pPr>
      <w:r>
        <w:rPr>
          <w:rFonts w:ascii="Times New Roman" w:hAnsi="Times New Roman" w:cs="Times New Roman" w:hint="eastAsia"/>
        </w:rPr>
        <w:t>1990</w:t>
      </w:r>
      <w:r>
        <w:rPr>
          <w:rFonts w:ascii="Times New Roman" w:hAnsi="Times New Roman" w:cs="Times New Roman" w:hint="eastAsia"/>
        </w:rPr>
        <w:t>年代半ばに、現地銀行の買収という形で西欧の銀行がスロヴェニアにも進出した。他の中東欧諸国では銀行セクターに占める外資の割合は</w:t>
      </w:r>
      <w:r>
        <w:rPr>
          <w:rFonts w:ascii="Times New Roman" w:hAnsi="Times New Roman" w:cs="Times New Roman" w:hint="eastAsia"/>
        </w:rPr>
        <w:t>90</w:t>
      </w:r>
      <w:r>
        <w:rPr>
          <w:rFonts w:ascii="Times New Roman" w:hAnsi="Times New Roman" w:cs="Times New Roman" w:hint="eastAsia"/>
        </w:rPr>
        <w:t>％前後であるのに、この国では銀行セクターに占める外資の割合は低くて約</w:t>
      </w:r>
      <w:r>
        <w:rPr>
          <w:rFonts w:ascii="Times New Roman" w:hAnsi="Times New Roman" w:cs="Times New Roman" w:hint="eastAsia"/>
        </w:rPr>
        <w:t>40</w:t>
      </w:r>
      <w:r>
        <w:rPr>
          <w:rFonts w:ascii="Times New Roman" w:hAnsi="Times New Roman" w:cs="Times New Roman" w:hint="eastAsia"/>
        </w:rPr>
        <w:t>％である。</w:t>
      </w:r>
      <w:r>
        <w:rPr>
          <w:rFonts w:ascii="Times New Roman" w:hAnsi="Times New Roman" w:cs="Times New Roman" w:hint="eastAsia"/>
        </w:rPr>
        <w:t>2012</w:t>
      </w:r>
      <w:r>
        <w:rPr>
          <w:rFonts w:ascii="Times New Roman" w:hAnsi="Times New Roman" w:cs="Times New Roman" w:hint="eastAsia"/>
        </w:rPr>
        <w:t>年</w:t>
      </w:r>
      <w:r>
        <w:rPr>
          <w:rFonts w:ascii="Times New Roman" w:hAnsi="Times New Roman" w:cs="Times New Roman" w:hint="eastAsia"/>
        </w:rPr>
        <w:t>12</w:t>
      </w:r>
      <w:r>
        <w:rPr>
          <w:rFonts w:ascii="Times New Roman" w:hAnsi="Times New Roman" w:cs="Times New Roman" w:hint="eastAsia"/>
        </w:rPr>
        <w:t>月末の時点で銀行が</w:t>
      </w:r>
      <w:r>
        <w:rPr>
          <w:rFonts w:ascii="Times New Roman" w:hAnsi="Times New Roman" w:cs="Times New Roman" w:hint="eastAsia"/>
        </w:rPr>
        <w:t>17</w:t>
      </w:r>
      <w:r>
        <w:rPr>
          <w:rFonts w:ascii="Times New Roman" w:hAnsi="Times New Roman" w:cs="Times New Roman" w:hint="eastAsia"/>
        </w:rPr>
        <w:t>行（うち</w:t>
      </w:r>
      <w:r>
        <w:rPr>
          <w:rFonts w:ascii="Times New Roman" w:hAnsi="Times New Roman" w:cs="Times New Roman" w:hint="eastAsia"/>
        </w:rPr>
        <w:t>7</w:t>
      </w:r>
      <w:r>
        <w:rPr>
          <w:rFonts w:ascii="Times New Roman" w:hAnsi="Times New Roman" w:cs="Times New Roman" w:hint="eastAsia"/>
        </w:rPr>
        <w:t>行が外国銀行現地法人）、外国銀行の支店が</w:t>
      </w:r>
      <w:r>
        <w:rPr>
          <w:rFonts w:ascii="Times New Roman" w:hAnsi="Times New Roman" w:cs="Times New Roman" w:hint="eastAsia"/>
        </w:rPr>
        <w:t>3</w:t>
      </w:r>
      <w:r>
        <w:rPr>
          <w:rFonts w:ascii="Times New Roman" w:hAnsi="Times New Roman" w:cs="Times New Roman" w:hint="eastAsia"/>
        </w:rPr>
        <w:t>店舗および貯蓄銀行が</w:t>
      </w:r>
      <w:r>
        <w:rPr>
          <w:rFonts w:ascii="Times New Roman" w:hAnsi="Times New Roman" w:cs="Times New Roman" w:hint="eastAsia"/>
        </w:rPr>
        <w:t>3</w:t>
      </w:r>
      <w:r>
        <w:rPr>
          <w:rFonts w:ascii="Times New Roman" w:hAnsi="Times New Roman" w:cs="Times New Roman" w:hint="eastAsia"/>
        </w:rPr>
        <w:t>行営業している。欧州大陸の他の国々と同様、この国ではユニバーサル・バンキング制度がとられている。政府が所有する株式の割合はそれほど高くないように見えるが、大手の銀行新リュブリアナ銀行（</w:t>
      </w:r>
      <w:r>
        <w:rPr>
          <w:rFonts w:ascii="Times New Roman" w:hAnsi="Times New Roman" w:cs="Times New Roman" w:hint="eastAsia"/>
        </w:rPr>
        <w:t>NLB</w:t>
      </w:r>
      <w:r>
        <w:rPr>
          <w:rFonts w:ascii="Times New Roman" w:hAnsi="Times New Roman" w:cs="Times New Roman" w:hint="eastAsia"/>
        </w:rPr>
        <w:t>）と新マリボール信用銀行（</w:t>
      </w:r>
      <w:r>
        <w:rPr>
          <w:rFonts w:ascii="Times New Roman" w:hAnsi="Times New Roman" w:cs="Times New Roman" w:hint="eastAsia"/>
        </w:rPr>
        <w:t>NKBM</w:t>
      </w:r>
      <w:r>
        <w:rPr>
          <w:rFonts w:ascii="Times New Roman" w:hAnsi="Times New Roman" w:cs="Times New Roman" w:hint="eastAsia"/>
        </w:rPr>
        <w:t>）の過半数株を所有している点を見落としてはならない（</w:t>
      </w:r>
      <w:r>
        <w:rPr>
          <w:rFonts w:ascii="Times New Roman" w:hAnsi="Times New Roman" w:cs="Times New Roman" w:hint="eastAsia"/>
        </w:rPr>
        <w:t>Bank of Slovenia, 2006, 2012</w:t>
      </w:r>
      <w:r>
        <w:rPr>
          <w:rFonts w:ascii="Times New Roman" w:hAnsi="Times New Roman" w:cs="Times New Roman" w:hint="eastAsia"/>
        </w:rPr>
        <w:t>）。</w:t>
      </w:r>
    </w:p>
    <w:p w:rsidR="009D505B" w:rsidRDefault="009D505B" w:rsidP="00E471FE">
      <w:pPr>
        <w:ind w:firstLineChars="100" w:firstLine="210"/>
        <w:rPr>
          <w:rFonts w:ascii="Times New Roman" w:hAnsi="Times New Roman" w:cs="Times New Roman"/>
        </w:rPr>
      </w:pPr>
    </w:p>
    <w:p w:rsidR="00605516" w:rsidRPr="003D2124" w:rsidRDefault="00605516" w:rsidP="00605516">
      <w:pPr>
        <w:rPr>
          <w:rFonts w:ascii="Times New Roman" w:hAnsi="Times New Roman" w:cs="Times New Roman"/>
        </w:rPr>
      </w:pPr>
      <w:r w:rsidRPr="003D2124">
        <w:rPr>
          <w:rFonts w:ascii="Times New Roman" w:hAnsi="Times New Roman" w:cs="Times New Roman"/>
          <w:b/>
          <w:bCs/>
        </w:rPr>
        <w:t>ブーム期（</w:t>
      </w:r>
      <w:r w:rsidRPr="003D2124">
        <w:rPr>
          <w:rFonts w:ascii="Times New Roman" w:hAnsi="Times New Roman" w:cs="Times New Roman"/>
          <w:b/>
          <w:bCs/>
        </w:rPr>
        <w:t>2005-2008</w:t>
      </w:r>
      <w:r w:rsidRPr="003D2124">
        <w:rPr>
          <w:rFonts w:ascii="Times New Roman" w:hAnsi="Times New Roman" w:cs="Times New Roman"/>
          <w:b/>
          <w:bCs/>
        </w:rPr>
        <w:t>年）</w:t>
      </w:r>
    </w:p>
    <w:p w:rsidR="00605516" w:rsidRDefault="00605516" w:rsidP="002302D5">
      <w:pPr>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hint="eastAsia"/>
        </w:rPr>
        <w:t>1993</w:t>
      </w:r>
      <w:r>
        <w:rPr>
          <w:rFonts w:ascii="Times New Roman" w:hAnsi="Times New Roman" w:cs="Times New Roman" w:hint="eastAsia"/>
        </w:rPr>
        <w:t>年から</w:t>
      </w:r>
      <w:r>
        <w:rPr>
          <w:rFonts w:ascii="Times New Roman" w:hAnsi="Times New Roman" w:cs="Times New Roman" w:hint="eastAsia"/>
        </w:rPr>
        <w:t>2004</w:t>
      </w:r>
      <w:r>
        <w:rPr>
          <w:rFonts w:ascii="Times New Roman" w:hAnsi="Times New Roman" w:cs="Times New Roman" w:hint="eastAsia"/>
        </w:rPr>
        <w:t>年にかけて比較的釣り合いのとれた社会経済発展が続いた。経常収支の赤字や財政赤字は小さく、毎年平均</w:t>
      </w:r>
      <w:r>
        <w:rPr>
          <w:rFonts w:ascii="Times New Roman" w:hAnsi="Times New Roman" w:cs="Times New Roman" w:hint="eastAsia"/>
        </w:rPr>
        <w:t>4</w:t>
      </w:r>
      <w:r>
        <w:rPr>
          <w:rFonts w:ascii="Times New Roman" w:hAnsi="Times New Roman" w:cs="Times New Roman" w:hint="eastAsia"/>
        </w:rPr>
        <w:t>％という穏やかな成長率ではあったが、</w:t>
      </w:r>
      <w:r>
        <w:rPr>
          <w:rFonts w:ascii="Times New Roman" w:hAnsi="Times New Roman" w:cs="Times New Roman" w:hint="eastAsia"/>
        </w:rPr>
        <w:t>GDP</w:t>
      </w:r>
      <w:r>
        <w:rPr>
          <w:rFonts w:ascii="Times New Roman" w:hAnsi="Times New Roman" w:cs="Times New Roman" w:hint="eastAsia"/>
        </w:rPr>
        <w:t>は着実に成長した。</w:t>
      </w:r>
      <w:r>
        <w:rPr>
          <w:rFonts w:ascii="Times New Roman" w:hAnsi="Times New Roman" w:cs="Times New Roman" w:hint="eastAsia"/>
        </w:rPr>
        <w:t>2004</w:t>
      </w:r>
      <w:r>
        <w:rPr>
          <w:rFonts w:ascii="Times New Roman" w:hAnsi="Times New Roman" w:cs="Times New Roman" w:hint="eastAsia"/>
        </w:rPr>
        <w:t>年</w:t>
      </w:r>
      <w:r>
        <w:rPr>
          <w:rFonts w:ascii="Times New Roman" w:hAnsi="Times New Roman" w:cs="Times New Roman" w:hint="eastAsia"/>
        </w:rPr>
        <w:t>10</w:t>
      </w:r>
      <w:r>
        <w:rPr>
          <w:rFonts w:ascii="Times New Roman" w:hAnsi="Times New Roman" w:cs="Times New Roman" w:hint="eastAsia"/>
        </w:rPr>
        <w:t>月の総選挙で自由民主党を中心とした連立与党（中道左派）が敗北し、野党であった民主党が勝利し、</w:t>
      </w:r>
      <w:r w:rsidRPr="003D2124">
        <w:rPr>
          <w:rFonts w:ascii="Times New Roman" w:hAnsi="Times New Roman" w:cs="Times New Roman"/>
        </w:rPr>
        <w:t>中道右派の連立政権（首相はヤネズ・ヤンシャ）が発</w:t>
      </w:r>
      <w:r w:rsidRPr="003D2124">
        <w:rPr>
          <w:rFonts w:ascii="Times New Roman" w:hAnsi="Times New Roman" w:cs="Times New Roman"/>
        </w:rPr>
        <w:lastRenderedPageBreak/>
        <w:t>足</w:t>
      </w:r>
      <w:r>
        <w:rPr>
          <w:rFonts w:ascii="Times New Roman" w:hAnsi="Times New Roman" w:cs="Times New Roman" w:hint="eastAsia"/>
        </w:rPr>
        <w:t>した</w:t>
      </w:r>
      <w:r w:rsidRPr="003D2124">
        <w:rPr>
          <w:rFonts w:ascii="Times New Roman" w:hAnsi="Times New Roman" w:cs="Times New Roman"/>
        </w:rPr>
        <w:t>。中道右派政権は新自由主義的な改革に乗り出した。政府は</w:t>
      </w:r>
      <w:r w:rsidRPr="003D2124">
        <w:rPr>
          <w:rFonts w:ascii="Times New Roman" w:hAnsi="Times New Roman" w:cs="Times New Roman"/>
        </w:rPr>
        <w:t>2006</w:t>
      </w:r>
      <w:r w:rsidRPr="003D2124">
        <w:rPr>
          <w:rFonts w:ascii="Times New Roman" w:hAnsi="Times New Roman" w:cs="Times New Roman"/>
        </w:rPr>
        <w:t>年に</w:t>
      </w:r>
      <w:r>
        <w:rPr>
          <w:rFonts w:ascii="Times New Roman" w:hAnsi="Times New Roman" w:cs="Times New Roman"/>
        </w:rPr>
        <w:t>コーポラティスト的調整ネットワークを意図的に解体しようと企てた</w:t>
      </w:r>
      <w:r>
        <w:rPr>
          <w:rFonts w:ascii="Times New Roman" w:hAnsi="Times New Roman" w:cs="Times New Roman" w:hint="eastAsia"/>
        </w:rPr>
        <w:t>、法改正して、大企業を代表していた主要な商業会議所への加盟を義務制から任意性に変えた。政府は、保有する大企業の株式の売却を示唆して経営者たちの同意を取り付けたのである。これにより</w:t>
      </w:r>
      <w:r w:rsidRPr="003D2124">
        <w:rPr>
          <w:rFonts w:ascii="Times New Roman" w:hAnsi="Times New Roman" w:cs="Times New Roman"/>
        </w:rPr>
        <w:t>経済社会評議会は事実上機能を停止</w:t>
      </w:r>
      <w:r>
        <w:rPr>
          <w:rFonts w:ascii="Times New Roman" w:hAnsi="Times New Roman" w:cs="Times New Roman" w:hint="eastAsia"/>
        </w:rPr>
        <w:t>した</w:t>
      </w:r>
      <w:r w:rsidRPr="003D2124">
        <w:rPr>
          <w:rFonts w:ascii="Times New Roman" w:hAnsi="Times New Roman" w:cs="Times New Roman"/>
        </w:rPr>
        <w:t>。</w:t>
      </w:r>
    </w:p>
    <w:p w:rsidR="00260952" w:rsidRPr="00225212" w:rsidRDefault="00260952" w:rsidP="00260952">
      <w:pPr>
        <w:rPr>
          <w:rFonts w:ascii="Times New Roman" w:hAnsi="Times New Roman" w:cs="Times New Roman"/>
        </w:rPr>
      </w:pPr>
    </w:p>
    <w:tbl>
      <w:tblPr>
        <w:tblW w:w="8604" w:type="dxa"/>
        <w:tblInd w:w="84" w:type="dxa"/>
        <w:tblCellMar>
          <w:left w:w="99" w:type="dxa"/>
          <w:right w:w="99" w:type="dxa"/>
        </w:tblCellMar>
        <w:tblLook w:val="04A0" w:firstRow="1" w:lastRow="0" w:firstColumn="1" w:lastColumn="0" w:noHBand="0" w:noVBand="1"/>
      </w:tblPr>
      <w:tblGrid>
        <w:gridCol w:w="2709"/>
        <w:gridCol w:w="567"/>
        <w:gridCol w:w="567"/>
        <w:gridCol w:w="567"/>
        <w:gridCol w:w="567"/>
        <w:gridCol w:w="595"/>
        <w:gridCol w:w="595"/>
        <w:gridCol w:w="652"/>
        <w:gridCol w:w="595"/>
        <w:gridCol w:w="595"/>
        <w:gridCol w:w="595"/>
      </w:tblGrid>
      <w:tr w:rsidR="00260952" w:rsidRPr="007C4D8D" w:rsidTr="009F52BB">
        <w:trPr>
          <w:trHeight w:val="315"/>
        </w:trPr>
        <w:tc>
          <w:tcPr>
            <w:tcW w:w="8604" w:type="dxa"/>
            <w:gridSpan w:val="11"/>
            <w:tcBorders>
              <w:top w:val="nil"/>
              <w:left w:val="nil"/>
              <w:bottom w:val="single" w:sz="4" w:space="0" w:color="auto"/>
              <w:right w:val="nil"/>
            </w:tcBorders>
            <w:shd w:val="clear" w:color="auto" w:fill="auto"/>
            <w:noWrap/>
            <w:vAlign w:val="center"/>
            <w:hideMark/>
          </w:tcPr>
          <w:p w:rsidR="00260952" w:rsidRPr="007C4D8D" w:rsidRDefault="00260952" w:rsidP="00260952">
            <w:pPr>
              <w:widowControl/>
              <w:jc w:val="center"/>
              <w:rPr>
                <w:rFonts w:ascii="ＭＳ Ｐゴシック" w:eastAsia="ＭＳ Ｐゴシック" w:hAnsi="ＭＳ Ｐゴシック" w:cs="ＭＳ Ｐゴシック"/>
                <w:b/>
                <w:bCs/>
                <w:color w:val="000000"/>
                <w:kern w:val="0"/>
                <w:sz w:val="20"/>
                <w:szCs w:val="20"/>
              </w:rPr>
            </w:pPr>
            <w:r w:rsidRPr="007C4D8D">
              <w:rPr>
                <w:rFonts w:ascii="ＭＳ Ｐゴシック" w:eastAsia="ＭＳ Ｐゴシック" w:hAnsi="ＭＳ Ｐゴシック" w:cs="ＭＳ Ｐゴシック" w:hint="eastAsia"/>
                <w:b/>
                <w:bCs/>
                <w:color w:val="000000"/>
                <w:kern w:val="0"/>
                <w:sz w:val="20"/>
                <w:szCs w:val="20"/>
              </w:rPr>
              <w:t>表</w:t>
            </w:r>
            <w:r>
              <w:rPr>
                <w:rFonts w:ascii="ＭＳ Ｐゴシック" w:eastAsia="ＭＳ Ｐゴシック" w:hAnsi="ＭＳ Ｐゴシック" w:cs="ＭＳ Ｐゴシック" w:hint="eastAsia"/>
                <w:b/>
                <w:bCs/>
                <w:color w:val="000000"/>
                <w:kern w:val="0"/>
                <w:sz w:val="20"/>
                <w:szCs w:val="20"/>
              </w:rPr>
              <w:t>2</w:t>
            </w:r>
            <w:r w:rsidRPr="007C4D8D">
              <w:rPr>
                <w:rFonts w:ascii="ＭＳ Ｐゴシック" w:eastAsia="ＭＳ Ｐゴシック" w:hAnsi="ＭＳ Ｐゴシック" w:cs="ＭＳ Ｐゴシック" w:hint="eastAsia"/>
                <w:b/>
                <w:bCs/>
                <w:color w:val="000000"/>
                <w:kern w:val="0"/>
                <w:sz w:val="20"/>
                <w:szCs w:val="20"/>
              </w:rPr>
              <w:t xml:space="preserve">　</w:t>
            </w:r>
            <w:r w:rsidR="003647BB">
              <w:rPr>
                <w:rFonts w:ascii="ＭＳ Ｐゴシック" w:eastAsia="ＭＳ Ｐゴシック" w:hAnsi="ＭＳ Ｐゴシック" w:cs="ＭＳ Ｐゴシック" w:hint="eastAsia"/>
                <w:b/>
                <w:bCs/>
                <w:color w:val="000000"/>
                <w:kern w:val="0"/>
                <w:sz w:val="20"/>
                <w:szCs w:val="20"/>
              </w:rPr>
              <w:t>スロヴェニアの</w:t>
            </w:r>
            <w:r w:rsidRPr="007C4D8D">
              <w:rPr>
                <w:rFonts w:ascii="ＭＳ Ｐゴシック" w:eastAsia="ＭＳ Ｐゴシック" w:hAnsi="ＭＳ Ｐゴシック" w:cs="ＭＳ Ｐゴシック" w:hint="eastAsia"/>
                <w:b/>
                <w:bCs/>
                <w:color w:val="000000"/>
                <w:kern w:val="0"/>
                <w:sz w:val="20"/>
                <w:szCs w:val="20"/>
              </w:rPr>
              <w:t>マクロ経済指標</w:t>
            </w:r>
          </w:p>
        </w:tc>
      </w:tr>
      <w:tr w:rsidR="00260952" w:rsidRPr="007C4D8D" w:rsidTr="009F52BB">
        <w:trPr>
          <w:trHeight w:val="270"/>
        </w:trPr>
        <w:tc>
          <w:tcPr>
            <w:tcW w:w="2709" w:type="dxa"/>
            <w:tcBorders>
              <w:top w:val="nil"/>
              <w:left w:val="nil"/>
              <w:bottom w:val="single" w:sz="4" w:space="0" w:color="auto"/>
              <w:right w:val="single" w:sz="4" w:space="0" w:color="auto"/>
            </w:tcBorders>
            <w:shd w:val="clear" w:color="auto" w:fill="auto"/>
            <w:noWrap/>
            <w:vAlign w:val="center"/>
            <w:hideMark/>
          </w:tcPr>
          <w:p w:rsidR="00260952" w:rsidRPr="007C4D8D" w:rsidRDefault="00260952" w:rsidP="009F52BB">
            <w:pPr>
              <w:widowControl/>
              <w:jc w:val="lef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　</w:t>
            </w:r>
          </w:p>
        </w:tc>
        <w:tc>
          <w:tcPr>
            <w:tcW w:w="567" w:type="dxa"/>
            <w:tcBorders>
              <w:top w:val="nil"/>
              <w:left w:val="nil"/>
              <w:bottom w:val="single" w:sz="4" w:space="0" w:color="auto"/>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2003</w:t>
            </w:r>
          </w:p>
        </w:tc>
        <w:tc>
          <w:tcPr>
            <w:tcW w:w="567" w:type="dxa"/>
            <w:tcBorders>
              <w:top w:val="nil"/>
              <w:left w:val="nil"/>
              <w:bottom w:val="single" w:sz="4" w:space="0" w:color="auto"/>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2004</w:t>
            </w:r>
          </w:p>
        </w:tc>
        <w:tc>
          <w:tcPr>
            <w:tcW w:w="567" w:type="dxa"/>
            <w:tcBorders>
              <w:top w:val="nil"/>
              <w:left w:val="nil"/>
              <w:bottom w:val="single" w:sz="4" w:space="0" w:color="auto"/>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2005</w:t>
            </w:r>
          </w:p>
        </w:tc>
        <w:tc>
          <w:tcPr>
            <w:tcW w:w="567" w:type="dxa"/>
            <w:tcBorders>
              <w:top w:val="nil"/>
              <w:left w:val="nil"/>
              <w:bottom w:val="single" w:sz="4" w:space="0" w:color="auto"/>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2006</w:t>
            </w:r>
          </w:p>
        </w:tc>
        <w:tc>
          <w:tcPr>
            <w:tcW w:w="595" w:type="dxa"/>
            <w:tcBorders>
              <w:top w:val="nil"/>
              <w:left w:val="nil"/>
              <w:bottom w:val="single" w:sz="4" w:space="0" w:color="auto"/>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2007</w:t>
            </w:r>
          </w:p>
        </w:tc>
        <w:tc>
          <w:tcPr>
            <w:tcW w:w="595" w:type="dxa"/>
            <w:tcBorders>
              <w:top w:val="nil"/>
              <w:left w:val="nil"/>
              <w:bottom w:val="single" w:sz="4" w:space="0" w:color="auto"/>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2008</w:t>
            </w:r>
          </w:p>
        </w:tc>
        <w:tc>
          <w:tcPr>
            <w:tcW w:w="652" w:type="dxa"/>
            <w:tcBorders>
              <w:top w:val="nil"/>
              <w:left w:val="nil"/>
              <w:bottom w:val="single" w:sz="4" w:space="0" w:color="auto"/>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2009</w:t>
            </w:r>
          </w:p>
        </w:tc>
        <w:tc>
          <w:tcPr>
            <w:tcW w:w="595" w:type="dxa"/>
            <w:tcBorders>
              <w:top w:val="nil"/>
              <w:left w:val="nil"/>
              <w:bottom w:val="single" w:sz="4" w:space="0" w:color="auto"/>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2010</w:t>
            </w:r>
          </w:p>
        </w:tc>
        <w:tc>
          <w:tcPr>
            <w:tcW w:w="595" w:type="dxa"/>
            <w:tcBorders>
              <w:top w:val="nil"/>
              <w:left w:val="nil"/>
              <w:bottom w:val="single" w:sz="4" w:space="0" w:color="auto"/>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2011</w:t>
            </w:r>
          </w:p>
        </w:tc>
        <w:tc>
          <w:tcPr>
            <w:tcW w:w="595" w:type="dxa"/>
            <w:tcBorders>
              <w:top w:val="nil"/>
              <w:left w:val="nil"/>
              <w:bottom w:val="single" w:sz="4" w:space="0" w:color="auto"/>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2012</w:t>
            </w:r>
          </w:p>
        </w:tc>
      </w:tr>
      <w:tr w:rsidR="00260952" w:rsidRPr="007C4D8D" w:rsidTr="009F52BB">
        <w:trPr>
          <w:trHeight w:val="270"/>
        </w:trPr>
        <w:tc>
          <w:tcPr>
            <w:tcW w:w="2709" w:type="dxa"/>
            <w:tcBorders>
              <w:top w:val="nil"/>
              <w:left w:val="nil"/>
              <w:bottom w:val="nil"/>
              <w:right w:val="single" w:sz="4" w:space="0" w:color="auto"/>
            </w:tcBorders>
            <w:shd w:val="clear" w:color="auto" w:fill="auto"/>
            <w:noWrap/>
            <w:vAlign w:val="center"/>
            <w:hideMark/>
          </w:tcPr>
          <w:p w:rsidR="00260952" w:rsidRPr="007C4D8D" w:rsidRDefault="00260952" w:rsidP="009F52BB">
            <w:pPr>
              <w:widowControl/>
              <w:jc w:val="lef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GDP成長率</w:t>
            </w:r>
          </w:p>
        </w:tc>
        <w:tc>
          <w:tcPr>
            <w:tcW w:w="567"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2.5 </w:t>
            </w:r>
          </w:p>
        </w:tc>
        <w:tc>
          <w:tcPr>
            <w:tcW w:w="567"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4.3 </w:t>
            </w:r>
          </w:p>
        </w:tc>
        <w:tc>
          <w:tcPr>
            <w:tcW w:w="567"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4.5 </w:t>
            </w:r>
          </w:p>
        </w:tc>
        <w:tc>
          <w:tcPr>
            <w:tcW w:w="567"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5.8 </w:t>
            </w:r>
          </w:p>
        </w:tc>
        <w:tc>
          <w:tcPr>
            <w:tcW w:w="595"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6.8 </w:t>
            </w:r>
          </w:p>
        </w:tc>
        <w:tc>
          <w:tcPr>
            <w:tcW w:w="595"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3.5 </w:t>
            </w:r>
          </w:p>
        </w:tc>
        <w:tc>
          <w:tcPr>
            <w:tcW w:w="652"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-7.8 </w:t>
            </w:r>
          </w:p>
        </w:tc>
        <w:tc>
          <w:tcPr>
            <w:tcW w:w="595"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1.2 </w:t>
            </w:r>
          </w:p>
        </w:tc>
        <w:tc>
          <w:tcPr>
            <w:tcW w:w="595"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-0.2</w:t>
            </w:r>
            <w:r w:rsidRPr="007C4D8D">
              <w:rPr>
                <w:rFonts w:ascii="ＭＳ Ｐゴシック" w:eastAsia="ＭＳ Ｐゴシック" w:hAnsi="ＭＳ Ｐゴシック" w:cs="ＭＳ Ｐゴシック" w:hint="eastAsia"/>
                <w:color w:val="000000"/>
                <w:kern w:val="0"/>
                <w:sz w:val="18"/>
                <w:szCs w:val="18"/>
              </w:rPr>
              <w:t xml:space="preserve"> </w:t>
            </w:r>
          </w:p>
        </w:tc>
        <w:tc>
          <w:tcPr>
            <w:tcW w:w="595"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-2.0 </w:t>
            </w:r>
          </w:p>
        </w:tc>
      </w:tr>
      <w:tr w:rsidR="00260952" w:rsidRPr="007C4D8D" w:rsidTr="009F52BB">
        <w:trPr>
          <w:trHeight w:val="270"/>
        </w:trPr>
        <w:tc>
          <w:tcPr>
            <w:tcW w:w="2709" w:type="dxa"/>
            <w:tcBorders>
              <w:top w:val="nil"/>
              <w:left w:val="nil"/>
              <w:bottom w:val="nil"/>
              <w:right w:val="single" w:sz="4" w:space="0" w:color="auto"/>
            </w:tcBorders>
            <w:shd w:val="clear" w:color="auto" w:fill="auto"/>
            <w:noWrap/>
            <w:vAlign w:val="center"/>
            <w:hideMark/>
          </w:tcPr>
          <w:p w:rsidR="00260952" w:rsidRPr="007C4D8D" w:rsidRDefault="00260952" w:rsidP="009F52BB">
            <w:pPr>
              <w:widowControl/>
              <w:jc w:val="lef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家計消費（前年比）</w:t>
            </w:r>
          </w:p>
        </w:tc>
        <w:tc>
          <w:tcPr>
            <w:tcW w:w="567"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proofErr w:type="spellStart"/>
            <w:r w:rsidRPr="007C4D8D">
              <w:rPr>
                <w:rFonts w:ascii="ＭＳ Ｐゴシック" w:eastAsia="ＭＳ Ｐゴシック" w:hAnsi="ＭＳ Ｐゴシック" w:cs="ＭＳ Ｐゴシック" w:hint="eastAsia"/>
                <w:color w:val="000000"/>
                <w:kern w:val="0"/>
                <w:sz w:val="18"/>
                <w:szCs w:val="18"/>
              </w:rPr>
              <w:t>n.a</w:t>
            </w:r>
            <w:proofErr w:type="spellEnd"/>
            <w:r w:rsidRPr="007C4D8D">
              <w:rPr>
                <w:rFonts w:ascii="ＭＳ Ｐゴシック" w:eastAsia="ＭＳ Ｐゴシック" w:hAnsi="ＭＳ Ｐゴシック" w:cs="ＭＳ Ｐゴシック" w:hint="eastAsia"/>
                <w:color w:val="000000"/>
                <w:kern w:val="0"/>
                <w:sz w:val="18"/>
                <w:szCs w:val="18"/>
              </w:rPr>
              <w:t>.</w:t>
            </w:r>
          </w:p>
        </w:tc>
        <w:tc>
          <w:tcPr>
            <w:tcW w:w="567"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3.0 </w:t>
            </w:r>
          </w:p>
        </w:tc>
        <w:tc>
          <w:tcPr>
            <w:tcW w:w="567"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2.8 </w:t>
            </w:r>
          </w:p>
        </w:tc>
        <w:tc>
          <w:tcPr>
            <w:tcW w:w="567"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2.8 </w:t>
            </w:r>
          </w:p>
        </w:tc>
        <w:tc>
          <w:tcPr>
            <w:tcW w:w="595"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5.3 </w:t>
            </w:r>
          </w:p>
        </w:tc>
        <w:tc>
          <w:tcPr>
            <w:tcW w:w="595"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2.5 </w:t>
            </w:r>
          </w:p>
        </w:tc>
        <w:tc>
          <w:tcPr>
            <w:tcW w:w="652"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0.2 </w:t>
            </w:r>
          </w:p>
        </w:tc>
        <w:tc>
          <w:tcPr>
            <w:tcW w:w="595"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1.4 </w:t>
            </w:r>
          </w:p>
        </w:tc>
        <w:tc>
          <w:tcPr>
            <w:tcW w:w="595"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1.0 </w:t>
            </w:r>
          </w:p>
        </w:tc>
        <w:tc>
          <w:tcPr>
            <w:tcW w:w="595"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-2.0 </w:t>
            </w:r>
          </w:p>
        </w:tc>
      </w:tr>
      <w:tr w:rsidR="00260952" w:rsidRPr="007C4D8D" w:rsidTr="009F52BB">
        <w:trPr>
          <w:trHeight w:val="270"/>
        </w:trPr>
        <w:tc>
          <w:tcPr>
            <w:tcW w:w="2709" w:type="dxa"/>
            <w:tcBorders>
              <w:top w:val="nil"/>
              <w:left w:val="nil"/>
              <w:bottom w:val="nil"/>
              <w:right w:val="single" w:sz="4" w:space="0" w:color="auto"/>
            </w:tcBorders>
            <w:shd w:val="clear" w:color="auto" w:fill="auto"/>
            <w:noWrap/>
            <w:vAlign w:val="center"/>
            <w:hideMark/>
          </w:tcPr>
          <w:p w:rsidR="00260952" w:rsidRPr="007C4D8D" w:rsidRDefault="00260952" w:rsidP="009F52BB">
            <w:pPr>
              <w:widowControl/>
              <w:jc w:val="lef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総固定資本形成（前年比）</w:t>
            </w:r>
          </w:p>
        </w:tc>
        <w:tc>
          <w:tcPr>
            <w:tcW w:w="567"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6.3 </w:t>
            </w:r>
          </w:p>
        </w:tc>
        <w:tc>
          <w:tcPr>
            <w:tcW w:w="567"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7.3 </w:t>
            </w:r>
          </w:p>
        </w:tc>
        <w:tc>
          <w:tcPr>
            <w:tcW w:w="567"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2.5 </w:t>
            </w:r>
          </w:p>
        </w:tc>
        <w:tc>
          <w:tcPr>
            <w:tcW w:w="567"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10.3 </w:t>
            </w:r>
          </w:p>
        </w:tc>
        <w:tc>
          <w:tcPr>
            <w:tcW w:w="595"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11.9 </w:t>
            </w:r>
          </w:p>
        </w:tc>
        <w:tc>
          <w:tcPr>
            <w:tcW w:w="595"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7.1 </w:t>
            </w:r>
          </w:p>
        </w:tc>
        <w:tc>
          <w:tcPr>
            <w:tcW w:w="652"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-23.2 </w:t>
            </w:r>
          </w:p>
        </w:tc>
        <w:tc>
          <w:tcPr>
            <w:tcW w:w="595"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-13.7 </w:t>
            </w:r>
          </w:p>
        </w:tc>
        <w:tc>
          <w:tcPr>
            <w:tcW w:w="595"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-8.1 </w:t>
            </w:r>
          </w:p>
        </w:tc>
        <w:tc>
          <w:tcPr>
            <w:tcW w:w="595"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-9.5 </w:t>
            </w:r>
          </w:p>
        </w:tc>
      </w:tr>
      <w:tr w:rsidR="00260952" w:rsidRPr="007C4D8D" w:rsidTr="009F52BB">
        <w:trPr>
          <w:trHeight w:val="270"/>
        </w:trPr>
        <w:tc>
          <w:tcPr>
            <w:tcW w:w="2709" w:type="dxa"/>
            <w:tcBorders>
              <w:top w:val="nil"/>
              <w:left w:val="nil"/>
              <w:bottom w:val="nil"/>
              <w:right w:val="single" w:sz="4" w:space="0" w:color="auto"/>
            </w:tcBorders>
            <w:shd w:val="clear" w:color="auto" w:fill="auto"/>
            <w:noWrap/>
            <w:vAlign w:val="center"/>
            <w:hideMark/>
          </w:tcPr>
          <w:p w:rsidR="00260952" w:rsidRPr="007C4D8D" w:rsidRDefault="00260952" w:rsidP="009F52BB">
            <w:pPr>
              <w:widowControl/>
              <w:jc w:val="lef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工業生産（前年比）</w:t>
            </w:r>
          </w:p>
        </w:tc>
        <w:tc>
          <w:tcPr>
            <w:tcW w:w="567"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1.4 </w:t>
            </w:r>
          </w:p>
        </w:tc>
        <w:tc>
          <w:tcPr>
            <w:tcW w:w="567"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4.9 </w:t>
            </w:r>
          </w:p>
        </w:tc>
        <w:tc>
          <w:tcPr>
            <w:tcW w:w="567"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3.5 </w:t>
            </w:r>
          </w:p>
        </w:tc>
        <w:tc>
          <w:tcPr>
            <w:tcW w:w="567"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5.7 </w:t>
            </w:r>
          </w:p>
        </w:tc>
        <w:tc>
          <w:tcPr>
            <w:tcW w:w="595"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7.1 </w:t>
            </w:r>
          </w:p>
        </w:tc>
        <w:tc>
          <w:tcPr>
            <w:tcW w:w="595"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2.4 </w:t>
            </w:r>
          </w:p>
        </w:tc>
        <w:tc>
          <w:tcPr>
            <w:tcW w:w="652"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-17.3 </w:t>
            </w:r>
          </w:p>
        </w:tc>
        <w:tc>
          <w:tcPr>
            <w:tcW w:w="595"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6.2 </w:t>
            </w:r>
          </w:p>
        </w:tc>
        <w:tc>
          <w:tcPr>
            <w:tcW w:w="595"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2.1 </w:t>
            </w:r>
          </w:p>
        </w:tc>
        <w:tc>
          <w:tcPr>
            <w:tcW w:w="595"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0.0 </w:t>
            </w:r>
          </w:p>
        </w:tc>
      </w:tr>
      <w:tr w:rsidR="00260952" w:rsidRPr="007C4D8D" w:rsidTr="009F52BB">
        <w:trPr>
          <w:trHeight w:val="270"/>
        </w:trPr>
        <w:tc>
          <w:tcPr>
            <w:tcW w:w="2709" w:type="dxa"/>
            <w:tcBorders>
              <w:top w:val="nil"/>
              <w:left w:val="nil"/>
              <w:bottom w:val="nil"/>
              <w:right w:val="single" w:sz="4" w:space="0" w:color="auto"/>
            </w:tcBorders>
            <w:shd w:val="clear" w:color="auto" w:fill="auto"/>
            <w:noWrap/>
            <w:vAlign w:val="center"/>
            <w:hideMark/>
          </w:tcPr>
          <w:p w:rsidR="00260952" w:rsidRPr="007C4D8D" w:rsidRDefault="00260952" w:rsidP="009F52BB">
            <w:pPr>
              <w:widowControl/>
              <w:jc w:val="lef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建設業生産（前年比）</w:t>
            </w:r>
          </w:p>
        </w:tc>
        <w:tc>
          <w:tcPr>
            <w:tcW w:w="567"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-1.7 </w:t>
            </w:r>
          </w:p>
        </w:tc>
        <w:tc>
          <w:tcPr>
            <w:tcW w:w="567"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2.5 </w:t>
            </w:r>
          </w:p>
        </w:tc>
        <w:tc>
          <w:tcPr>
            <w:tcW w:w="567"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3.0 </w:t>
            </w:r>
          </w:p>
        </w:tc>
        <w:tc>
          <w:tcPr>
            <w:tcW w:w="567"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15.3 </w:t>
            </w:r>
          </w:p>
        </w:tc>
        <w:tc>
          <w:tcPr>
            <w:tcW w:w="595"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18.4 </w:t>
            </w:r>
          </w:p>
        </w:tc>
        <w:tc>
          <w:tcPr>
            <w:tcW w:w="595"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15.5 </w:t>
            </w:r>
          </w:p>
        </w:tc>
        <w:tc>
          <w:tcPr>
            <w:tcW w:w="652"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-20.9 </w:t>
            </w:r>
          </w:p>
        </w:tc>
        <w:tc>
          <w:tcPr>
            <w:tcW w:w="595"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-16.9 </w:t>
            </w:r>
          </w:p>
        </w:tc>
        <w:tc>
          <w:tcPr>
            <w:tcW w:w="595"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-25.6 </w:t>
            </w:r>
          </w:p>
        </w:tc>
        <w:tc>
          <w:tcPr>
            <w:tcW w:w="595"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-17.0 </w:t>
            </w:r>
          </w:p>
        </w:tc>
      </w:tr>
      <w:tr w:rsidR="00260952" w:rsidRPr="007C4D8D" w:rsidTr="009F52BB">
        <w:trPr>
          <w:trHeight w:val="270"/>
        </w:trPr>
        <w:tc>
          <w:tcPr>
            <w:tcW w:w="2709" w:type="dxa"/>
            <w:tcBorders>
              <w:top w:val="nil"/>
              <w:left w:val="nil"/>
              <w:bottom w:val="nil"/>
              <w:right w:val="single" w:sz="4" w:space="0" w:color="auto"/>
            </w:tcBorders>
            <w:shd w:val="clear" w:color="auto" w:fill="auto"/>
            <w:noWrap/>
            <w:vAlign w:val="center"/>
            <w:hideMark/>
          </w:tcPr>
          <w:p w:rsidR="00260952" w:rsidRPr="007C4D8D" w:rsidRDefault="00260952" w:rsidP="009F52BB">
            <w:pPr>
              <w:widowControl/>
              <w:jc w:val="lef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失業率</w:t>
            </w:r>
          </w:p>
        </w:tc>
        <w:tc>
          <w:tcPr>
            <w:tcW w:w="567"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6.7 </w:t>
            </w:r>
          </w:p>
        </w:tc>
        <w:tc>
          <w:tcPr>
            <w:tcW w:w="567"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6.3 </w:t>
            </w:r>
          </w:p>
        </w:tc>
        <w:tc>
          <w:tcPr>
            <w:tcW w:w="567"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6.5 </w:t>
            </w:r>
          </w:p>
        </w:tc>
        <w:tc>
          <w:tcPr>
            <w:tcW w:w="567"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6.0 </w:t>
            </w:r>
          </w:p>
        </w:tc>
        <w:tc>
          <w:tcPr>
            <w:tcW w:w="595"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4.8 </w:t>
            </w:r>
          </w:p>
        </w:tc>
        <w:tc>
          <w:tcPr>
            <w:tcW w:w="595"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4.4 </w:t>
            </w:r>
          </w:p>
        </w:tc>
        <w:tc>
          <w:tcPr>
            <w:tcW w:w="652"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5.9 </w:t>
            </w:r>
          </w:p>
        </w:tc>
        <w:tc>
          <w:tcPr>
            <w:tcW w:w="595"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7.3 </w:t>
            </w:r>
          </w:p>
        </w:tc>
        <w:tc>
          <w:tcPr>
            <w:tcW w:w="595"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8.2 </w:t>
            </w:r>
          </w:p>
        </w:tc>
        <w:tc>
          <w:tcPr>
            <w:tcW w:w="595"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8.9 </w:t>
            </w:r>
          </w:p>
        </w:tc>
      </w:tr>
      <w:tr w:rsidR="00260952" w:rsidRPr="007C4D8D" w:rsidTr="009F52BB">
        <w:trPr>
          <w:trHeight w:val="270"/>
        </w:trPr>
        <w:tc>
          <w:tcPr>
            <w:tcW w:w="2709" w:type="dxa"/>
            <w:tcBorders>
              <w:top w:val="nil"/>
              <w:left w:val="nil"/>
              <w:bottom w:val="nil"/>
              <w:right w:val="single" w:sz="4" w:space="0" w:color="auto"/>
            </w:tcBorders>
            <w:shd w:val="clear" w:color="auto" w:fill="auto"/>
            <w:noWrap/>
            <w:vAlign w:val="center"/>
            <w:hideMark/>
          </w:tcPr>
          <w:p w:rsidR="00260952" w:rsidRPr="007C4D8D" w:rsidRDefault="00260952" w:rsidP="009F52BB">
            <w:pPr>
              <w:widowControl/>
              <w:jc w:val="lef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消費者物価上昇率</w:t>
            </w:r>
          </w:p>
        </w:tc>
        <w:tc>
          <w:tcPr>
            <w:tcW w:w="567"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5.6 </w:t>
            </w:r>
          </w:p>
        </w:tc>
        <w:tc>
          <w:tcPr>
            <w:tcW w:w="567"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3.6 </w:t>
            </w:r>
          </w:p>
        </w:tc>
        <w:tc>
          <w:tcPr>
            <w:tcW w:w="567"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2.5 </w:t>
            </w:r>
          </w:p>
        </w:tc>
        <w:tc>
          <w:tcPr>
            <w:tcW w:w="567"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2.5 </w:t>
            </w:r>
          </w:p>
        </w:tc>
        <w:tc>
          <w:tcPr>
            <w:tcW w:w="595"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3.8 </w:t>
            </w:r>
          </w:p>
        </w:tc>
        <w:tc>
          <w:tcPr>
            <w:tcW w:w="595"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5.5 </w:t>
            </w:r>
          </w:p>
        </w:tc>
        <w:tc>
          <w:tcPr>
            <w:tcW w:w="652"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0.9 </w:t>
            </w:r>
          </w:p>
        </w:tc>
        <w:tc>
          <w:tcPr>
            <w:tcW w:w="595"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2.1 </w:t>
            </w:r>
          </w:p>
        </w:tc>
        <w:tc>
          <w:tcPr>
            <w:tcW w:w="595"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2.1 </w:t>
            </w:r>
          </w:p>
        </w:tc>
        <w:tc>
          <w:tcPr>
            <w:tcW w:w="595"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2.8 </w:t>
            </w:r>
          </w:p>
        </w:tc>
      </w:tr>
      <w:tr w:rsidR="00260952" w:rsidRPr="007C4D8D" w:rsidTr="009F52BB">
        <w:trPr>
          <w:trHeight w:val="270"/>
        </w:trPr>
        <w:tc>
          <w:tcPr>
            <w:tcW w:w="2709" w:type="dxa"/>
            <w:tcBorders>
              <w:top w:val="nil"/>
              <w:left w:val="nil"/>
              <w:bottom w:val="nil"/>
              <w:right w:val="single" w:sz="4" w:space="0" w:color="auto"/>
            </w:tcBorders>
            <w:shd w:val="clear" w:color="auto" w:fill="auto"/>
            <w:noWrap/>
            <w:vAlign w:val="center"/>
            <w:hideMark/>
          </w:tcPr>
          <w:p w:rsidR="00260952" w:rsidRPr="007C4D8D" w:rsidRDefault="00260952" w:rsidP="009F52BB">
            <w:pPr>
              <w:widowControl/>
              <w:jc w:val="lef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利子率（政策金利）</w:t>
            </w:r>
          </w:p>
        </w:tc>
        <w:tc>
          <w:tcPr>
            <w:tcW w:w="567"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5.0 </w:t>
            </w:r>
          </w:p>
        </w:tc>
        <w:tc>
          <w:tcPr>
            <w:tcW w:w="567"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3.3 </w:t>
            </w:r>
          </w:p>
        </w:tc>
        <w:tc>
          <w:tcPr>
            <w:tcW w:w="567"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3.8 </w:t>
            </w:r>
          </w:p>
        </w:tc>
        <w:tc>
          <w:tcPr>
            <w:tcW w:w="567"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3.8 </w:t>
            </w:r>
          </w:p>
        </w:tc>
        <w:tc>
          <w:tcPr>
            <w:tcW w:w="595"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4.0 </w:t>
            </w:r>
          </w:p>
        </w:tc>
        <w:tc>
          <w:tcPr>
            <w:tcW w:w="595"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2.5 </w:t>
            </w:r>
          </w:p>
        </w:tc>
        <w:tc>
          <w:tcPr>
            <w:tcW w:w="652"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1.0 </w:t>
            </w:r>
          </w:p>
        </w:tc>
        <w:tc>
          <w:tcPr>
            <w:tcW w:w="595"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1.0 </w:t>
            </w:r>
          </w:p>
        </w:tc>
        <w:tc>
          <w:tcPr>
            <w:tcW w:w="595"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1.0 </w:t>
            </w:r>
          </w:p>
        </w:tc>
        <w:tc>
          <w:tcPr>
            <w:tcW w:w="595"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0.75 </w:t>
            </w:r>
          </w:p>
        </w:tc>
      </w:tr>
      <w:tr w:rsidR="00260952" w:rsidRPr="007C4D8D" w:rsidTr="009F52BB">
        <w:trPr>
          <w:trHeight w:val="270"/>
        </w:trPr>
        <w:tc>
          <w:tcPr>
            <w:tcW w:w="2709" w:type="dxa"/>
            <w:tcBorders>
              <w:top w:val="nil"/>
              <w:left w:val="nil"/>
              <w:bottom w:val="nil"/>
              <w:right w:val="single" w:sz="4" w:space="0" w:color="auto"/>
            </w:tcBorders>
            <w:shd w:val="clear" w:color="auto" w:fill="auto"/>
            <w:noWrap/>
            <w:vAlign w:val="center"/>
            <w:hideMark/>
          </w:tcPr>
          <w:p w:rsidR="00260952" w:rsidRPr="007C4D8D" w:rsidRDefault="00260952" w:rsidP="009F52BB">
            <w:pPr>
              <w:widowControl/>
              <w:jc w:val="lef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財政収支（対GDP比）</w:t>
            </w:r>
          </w:p>
        </w:tc>
        <w:tc>
          <w:tcPr>
            <w:tcW w:w="567"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-1.4 </w:t>
            </w:r>
          </w:p>
        </w:tc>
        <w:tc>
          <w:tcPr>
            <w:tcW w:w="567"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-1.3 </w:t>
            </w:r>
          </w:p>
        </w:tc>
        <w:tc>
          <w:tcPr>
            <w:tcW w:w="567"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-1.4 </w:t>
            </w:r>
          </w:p>
        </w:tc>
        <w:tc>
          <w:tcPr>
            <w:tcW w:w="567"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-1.3 </w:t>
            </w:r>
          </w:p>
        </w:tc>
        <w:tc>
          <w:tcPr>
            <w:tcW w:w="595"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0.5 </w:t>
            </w:r>
          </w:p>
        </w:tc>
        <w:tc>
          <w:tcPr>
            <w:tcW w:w="595"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-1.9 </w:t>
            </w:r>
          </w:p>
        </w:tc>
        <w:tc>
          <w:tcPr>
            <w:tcW w:w="652"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-6.0 </w:t>
            </w:r>
          </w:p>
        </w:tc>
        <w:tc>
          <w:tcPr>
            <w:tcW w:w="595"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-5.7 </w:t>
            </w:r>
          </w:p>
        </w:tc>
        <w:tc>
          <w:tcPr>
            <w:tcW w:w="595"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-6.4 </w:t>
            </w:r>
          </w:p>
        </w:tc>
        <w:tc>
          <w:tcPr>
            <w:tcW w:w="595"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-3.7 </w:t>
            </w:r>
          </w:p>
        </w:tc>
      </w:tr>
      <w:tr w:rsidR="00260952" w:rsidRPr="007C4D8D" w:rsidTr="009F52BB">
        <w:trPr>
          <w:trHeight w:val="270"/>
        </w:trPr>
        <w:tc>
          <w:tcPr>
            <w:tcW w:w="2709" w:type="dxa"/>
            <w:tcBorders>
              <w:top w:val="nil"/>
              <w:left w:val="nil"/>
              <w:bottom w:val="nil"/>
              <w:right w:val="single" w:sz="4" w:space="0" w:color="auto"/>
            </w:tcBorders>
            <w:shd w:val="clear" w:color="auto" w:fill="auto"/>
            <w:noWrap/>
            <w:vAlign w:val="center"/>
            <w:hideMark/>
          </w:tcPr>
          <w:p w:rsidR="00260952" w:rsidRPr="007C4D8D" w:rsidRDefault="00260952" w:rsidP="009F52BB">
            <w:pPr>
              <w:widowControl/>
              <w:jc w:val="lef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政府債務（対GDP比）</w:t>
            </w:r>
          </w:p>
        </w:tc>
        <w:tc>
          <w:tcPr>
            <w:tcW w:w="567"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26.5</w:t>
            </w:r>
          </w:p>
        </w:tc>
        <w:tc>
          <w:tcPr>
            <w:tcW w:w="567"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25.8</w:t>
            </w:r>
          </w:p>
        </w:tc>
        <w:tc>
          <w:tcPr>
            <w:tcW w:w="567"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25.3</w:t>
            </w:r>
            <w:r w:rsidRPr="007C4D8D">
              <w:rPr>
                <w:rFonts w:ascii="ＭＳ Ｐゴシック" w:eastAsia="ＭＳ Ｐゴシック" w:hAnsi="ＭＳ Ｐゴシック" w:cs="ＭＳ Ｐゴシック" w:hint="eastAsia"/>
                <w:color w:val="000000"/>
                <w:kern w:val="0"/>
                <w:sz w:val="18"/>
                <w:szCs w:val="18"/>
              </w:rPr>
              <w:t xml:space="preserve"> </w:t>
            </w:r>
          </w:p>
        </w:tc>
        <w:tc>
          <w:tcPr>
            <w:tcW w:w="567"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24.7</w:t>
            </w:r>
            <w:r w:rsidRPr="007C4D8D">
              <w:rPr>
                <w:rFonts w:ascii="ＭＳ Ｐゴシック" w:eastAsia="ＭＳ Ｐゴシック" w:hAnsi="ＭＳ Ｐゴシック" w:cs="ＭＳ Ｐゴシック" w:hint="eastAsia"/>
                <w:color w:val="000000"/>
                <w:kern w:val="0"/>
                <w:sz w:val="18"/>
                <w:szCs w:val="18"/>
              </w:rPr>
              <w:t xml:space="preserve"> </w:t>
            </w:r>
          </w:p>
        </w:tc>
        <w:tc>
          <w:tcPr>
            <w:tcW w:w="595"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23.4 </w:t>
            </w:r>
          </w:p>
        </w:tc>
        <w:tc>
          <w:tcPr>
            <w:tcW w:w="595"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22.0 </w:t>
            </w:r>
          </w:p>
        </w:tc>
        <w:tc>
          <w:tcPr>
            <w:tcW w:w="652"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35.0 </w:t>
            </w:r>
          </w:p>
        </w:tc>
        <w:tc>
          <w:tcPr>
            <w:tcW w:w="595"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38.6 </w:t>
            </w:r>
          </w:p>
        </w:tc>
        <w:tc>
          <w:tcPr>
            <w:tcW w:w="595"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46.9 </w:t>
            </w:r>
          </w:p>
        </w:tc>
        <w:tc>
          <w:tcPr>
            <w:tcW w:w="595" w:type="dxa"/>
            <w:tcBorders>
              <w:top w:val="nil"/>
              <w:left w:val="nil"/>
              <w:bottom w:val="nil"/>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 xml:space="preserve">54.1 </w:t>
            </w:r>
          </w:p>
        </w:tc>
      </w:tr>
      <w:tr w:rsidR="00260952" w:rsidRPr="007C4D8D" w:rsidTr="009F52BB">
        <w:trPr>
          <w:trHeight w:val="270"/>
        </w:trPr>
        <w:tc>
          <w:tcPr>
            <w:tcW w:w="2709" w:type="dxa"/>
            <w:tcBorders>
              <w:top w:val="nil"/>
              <w:left w:val="nil"/>
              <w:bottom w:val="single" w:sz="4" w:space="0" w:color="auto"/>
              <w:right w:val="single" w:sz="4" w:space="0" w:color="auto"/>
            </w:tcBorders>
            <w:shd w:val="clear" w:color="auto" w:fill="auto"/>
            <w:noWrap/>
            <w:vAlign w:val="center"/>
            <w:hideMark/>
          </w:tcPr>
          <w:p w:rsidR="00260952" w:rsidRPr="007C4D8D" w:rsidRDefault="00260952" w:rsidP="009F52BB">
            <w:pPr>
              <w:widowControl/>
              <w:jc w:val="lef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グロスの対外債務（対GDP比）</w:t>
            </w:r>
          </w:p>
        </w:tc>
        <w:tc>
          <w:tcPr>
            <w:tcW w:w="567" w:type="dxa"/>
            <w:tcBorders>
              <w:top w:val="nil"/>
              <w:left w:val="nil"/>
              <w:bottom w:val="single" w:sz="4" w:space="0" w:color="auto"/>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54.5</w:t>
            </w:r>
          </w:p>
        </w:tc>
        <w:tc>
          <w:tcPr>
            <w:tcW w:w="567" w:type="dxa"/>
            <w:tcBorders>
              <w:top w:val="nil"/>
              <w:left w:val="nil"/>
              <w:bottom w:val="single" w:sz="4" w:space="0" w:color="auto"/>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58.6</w:t>
            </w:r>
            <w:r w:rsidRPr="007C4D8D">
              <w:rPr>
                <w:rFonts w:ascii="ＭＳ Ｐゴシック" w:eastAsia="ＭＳ Ｐゴシック" w:hAnsi="ＭＳ Ｐゴシック" w:cs="ＭＳ Ｐゴシック" w:hint="eastAsia"/>
                <w:color w:val="000000"/>
                <w:kern w:val="0"/>
                <w:sz w:val="18"/>
                <w:szCs w:val="18"/>
              </w:rPr>
              <w:t xml:space="preserve">　</w:t>
            </w:r>
          </w:p>
        </w:tc>
        <w:tc>
          <w:tcPr>
            <w:tcW w:w="567" w:type="dxa"/>
            <w:tcBorders>
              <w:top w:val="nil"/>
              <w:left w:val="nil"/>
              <w:bottom w:val="single" w:sz="4" w:space="0" w:color="auto"/>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71.4</w:t>
            </w:r>
          </w:p>
        </w:tc>
        <w:tc>
          <w:tcPr>
            <w:tcW w:w="567" w:type="dxa"/>
            <w:tcBorders>
              <w:top w:val="nil"/>
              <w:left w:val="nil"/>
              <w:bottom w:val="single" w:sz="4" w:space="0" w:color="auto"/>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77.6</w:t>
            </w:r>
          </w:p>
        </w:tc>
        <w:tc>
          <w:tcPr>
            <w:tcW w:w="595" w:type="dxa"/>
            <w:tcBorders>
              <w:top w:val="nil"/>
              <w:left w:val="nil"/>
              <w:bottom w:val="single" w:sz="4" w:space="0" w:color="auto"/>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100.8</w:t>
            </w:r>
          </w:p>
        </w:tc>
        <w:tc>
          <w:tcPr>
            <w:tcW w:w="595" w:type="dxa"/>
            <w:tcBorders>
              <w:top w:val="nil"/>
              <w:left w:val="nil"/>
              <w:bottom w:val="single" w:sz="4" w:space="0" w:color="auto"/>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105.3</w:t>
            </w:r>
          </w:p>
        </w:tc>
        <w:tc>
          <w:tcPr>
            <w:tcW w:w="652" w:type="dxa"/>
            <w:tcBorders>
              <w:top w:val="nil"/>
              <w:left w:val="nil"/>
              <w:bottom w:val="single" w:sz="4" w:space="0" w:color="auto"/>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113.3</w:t>
            </w:r>
          </w:p>
        </w:tc>
        <w:tc>
          <w:tcPr>
            <w:tcW w:w="595" w:type="dxa"/>
            <w:tcBorders>
              <w:top w:val="nil"/>
              <w:left w:val="nil"/>
              <w:bottom w:val="single" w:sz="4" w:space="0" w:color="auto"/>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114.4</w:t>
            </w:r>
          </w:p>
        </w:tc>
        <w:tc>
          <w:tcPr>
            <w:tcW w:w="595" w:type="dxa"/>
            <w:tcBorders>
              <w:top w:val="nil"/>
              <w:left w:val="nil"/>
              <w:bottom w:val="single" w:sz="4" w:space="0" w:color="auto"/>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111.2</w:t>
            </w:r>
          </w:p>
        </w:tc>
        <w:tc>
          <w:tcPr>
            <w:tcW w:w="595" w:type="dxa"/>
            <w:tcBorders>
              <w:top w:val="nil"/>
              <w:left w:val="nil"/>
              <w:bottom w:val="single" w:sz="4" w:space="0" w:color="auto"/>
              <w:right w:val="nil"/>
            </w:tcBorders>
            <w:shd w:val="clear" w:color="auto" w:fill="auto"/>
            <w:noWrap/>
            <w:vAlign w:val="center"/>
            <w:hideMark/>
          </w:tcPr>
          <w:p w:rsidR="00260952" w:rsidRPr="007C4D8D" w:rsidRDefault="00260952" w:rsidP="009F52BB">
            <w:pPr>
              <w:widowControl/>
              <w:jc w:val="right"/>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111.5</w:t>
            </w:r>
          </w:p>
        </w:tc>
      </w:tr>
    </w:tbl>
    <w:p w:rsidR="00260952" w:rsidRPr="007C4D8D" w:rsidRDefault="00260952" w:rsidP="00260952">
      <w:pPr>
        <w:widowControl/>
        <w:rPr>
          <w:rFonts w:ascii="ＭＳ Ｐゴシック" w:eastAsia="ＭＳ Ｐゴシック" w:hAnsi="ＭＳ Ｐゴシック" w:cs="ＭＳ Ｐゴシック"/>
          <w:color w:val="000000"/>
          <w:kern w:val="0"/>
          <w:sz w:val="18"/>
          <w:szCs w:val="18"/>
        </w:rPr>
      </w:pPr>
      <w:r w:rsidRPr="007C4D8D">
        <w:rPr>
          <w:rFonts w:ascii="ＭＳ Ｐゴシック" w:eastAsia="ＭＳ Ｐゴシック" w:hAnsi="ＭＳ Ｐゴシック" w:cs="ＭＳ Ｐゴシック" w:hint="eastAsia"/>
          <w:color w:val="000000"/>
          <w:kern w:val="0"/>
          <w:sz w:val="18"/>
          <w:szCs w:val="18"/>
        </w:rPr>
        <w:t>出所：</w:t>
      </w:r>
      <w:r>
        <w:rPr>
          <w:rFonts w:ascii="ＭＳ Ｐゴシック" w:eastAsia="ＭＳ Ｐゴシック" w:hAnsi="ＭＳ Ｐゴシック" w:cs="ＭＳ Ｐゴシック" w:hint="eastAsia"/>
          <w:color w:val="000000"/>
          <w:kern w:val="0"/>
          <w:sz w:val="18"/>
          <w:szCs w:val="18"/>
        </w:rPr>
        <w:t>Bank of Slovenia, Annual Report, various issues.</w:t>
      </w:r>
    </w:p>
    <w:p w:rsidR="009D0D95" w:rsidRPr="003D2124" w:rsidRDefault="009D0D95" w:rsidP="00E471FE">
      <w:pPr>
        <w:rPr>
          <w:rFonts w:ascii="Times New Roman" w:hAnsi="Times New Roman" w:cs="Times New Roman"/>
        </w:rPr>
      </w:pPr>
    </w:p>
    <w:p w:rsidR="009D505B" w:rsidRDefault="009D505B" w:rsidP="00D13759">
      <w:pPr>
        <w:ind w:firstLineChars="100" w:firstLine="210"/>
        <w:rPr>
          <w:rFonts w:ascii="Times New Roman" w:hAnsi="Times New Roman" w:cs="Times New Roman"/>
        </w:rPr>
      </w:pPr>
      <w:r w:rsidRPr="003D2124">
        <w:rPr>
          <w:rFonts w:ascii="Times New Roman" w:hAnsi="Times New Roman" w:cs="Times New Roman"/>
        </w:rPr>
        <w:t>このあたりで、スロヴェニアは従来の発展のルートから外れた。ヨーロッパの普通の国と変わらなくなる。</w:t>
      </w:r>
      <w:r>
        <w:rPr>
          <w:rFonts w:ascii="Times New Roman" w:hAnsi="Times New Roman" w:cs="Times New Roman" w:hint="eastAsia"/>
        </w:rPr>
        <w:t>メンツィンガー（</w:t>
      </w:r>
      <w:proofErr w:type="spellStart"/>
      <w:r>
        <w:rPr>
          <w:rFonts w:ascii="Times New Roman" w:hAnsi="Times New Roman" w:cs="Times New Roman" w:hint="eastAsia"/>
        </w:rPr>
        <w:t>Mencinger</w:t>
      </w:r>
      <w:proofErr w:type="spellEnd"/>
      <w:r>
        <w:rPr>
          <w:rFonts w:ascii="Times New Roman" w:hAnsi="Times New Roman" w:cs="Times New Roman" w:hint="eastAsia"/>
        </w:rPr>
        <w:t>, 2013</w:t>
      </w:r>
      <w:r>
        <w:rPr>
          <w:rFonts w:ascii="Times New Roman" w:hAnsi="Times New Roman" w:cs="Times New Roman" w:hint="eastAsia"/>
        </w:rPr>
        <w:t>）は、</w:t>
      </w:r>
      <w:r w:rsidRPr="003D2124">
        <w:rPr>
          <w:rFonts w:ascii="Times New Roman" w:hAnsi="Times New Roman" w:cs="Times New Roman"/>
        </w:rPr>
        <w:t>2005</w:t>
      </w:r>
      <w:r w:rsidRPr="003D2124">
        <w:rPr>
          <w:rFonts w:ascii="Times New Roman" w:hAnsi="Times New Roman" w:cs="Times New Roman"/>
        </w:rPr>
        <w:t>年から</w:t>
      </w:r>
      <w:r w:rsidRPr="003D2124">
        <w:rPr>
          <w:rFonts w:ascii="Times New Roman" w:hAnsi="Times New Roman" w:cs="Times New Roman"/>
        </w:rPr>
        <w:t>2008</w:t>
      </w:r>
      <w:r w:rsidRPr="003D2124">
        <w:rPr>
          <w:rFonts w:ascii="Times New Roman" w:hAnsi="Times New Roman" w:cs="Times New Roman"/>
        </w:rPr>
        <w:t>年にかけての</w:t>
      </w:r>
      <w:r w:rsidRPr="003D2124">
        <w:rPr>
          <w:rFonts w:ascii="Times New Roman" w:hAnsi="Times New Roman" w:cs="Times New Roman"/>
        </w:rPr>
        <w:t>4</w:t>
      </w:r>
      <w:r w:rsidRPr="003D2124">
        <w:rPr>
          <w:rFonts w:ascii="Times New Roman" w:hAnsi="Times New Roman" w:cs="Times New Roman"/>
        </w:rPr>
        <w:t>年間は「ギャンブルの時期」</w:t>
      </w:r>
      <w:r>
        <w:rPr>
          <w:rFonts w:ascii="Times New Roman" w:hAnsi="Times New Roman" w:cs="Times New Roman" w:hint="eastAsia"/>
        </w:rPr>
        <w:t>と呼んでいる。彼</w:t>
      </w:r>
      <w:r w:rsidRPr="003D2124">
        <w:rPr>
          <w:rFonts w:ascii="Times New Roman" w:hAnsi="Times New Roman" w:cs="Times New Roman"/>
        </w:rPr>
        <w:t>は皮肉を込めて、「時代遅れの」（土着の）メンタリティは「モダンな」考え方に置き換えられたと言う。つまり、富は、金融的深化、企業買収、および本国や外国でのさまざまなファンドによる高い利回りの証券によって生み出すものだ、という考え方</w:t>
      </w:r>
      <w:r>
        <w:rPr>
          <w:rStyle w:val="ae"/>
          <w:rFonts w:ascii="Times New Roman" w:hAnsi="Times New Roman" w:cs="Times New Roman"/>
        </w:rPr>
        <w:footnoteReference w:id="12"/>
      </w:r>
      <w:r>
        <w:rPr>
          <w:rFonts w:ascii="Times New Roman" w:hAnsi="Times New Roman" w:cs="Times New Roman" w:hint="eastAsia"/>
        </w:rPr>
        <w:t>が広まったというのである</w:t>
      </w:r>
      <w:r w:rsidRPr="003D2124">
        <w:rPr>
          <w:rFonts w:ascii="Times New Roman" w:hAnsi="Times New Roman" w:cs="Times New Roman"/>
        </w:rPr>
        <w:t>。</w:t>
      </w:r>
    </w:p>
    <w:p w:rsidR="00D13759" w:rsidRPr="00D13759" w:rsidRDefault="00D13759" w:rsidP="00D13759">
      <w:pPr>
        <w:ind w:firstLineChars="100" w:firstLine="210"/>
        <w:rPr>
          <w:rFonts w:ascii="Times New Roman" w:hAnsi="Times New Roman" w:cs="Times New Roman"/>
        </w:rPr>
      </w:pPr>
      <w:r>
        <w:rPr>
          <w:rFonts w:ascii="Times New Roman" w:hAnsi="Times New Roman" w:cs="Times New Roman" w:hint="eastAsia"/>
        </w:rPr>
        <w:t>GDP</w:t>
      </w:r>
      <w:r>
        <w:rPr>
          <w:rFonts w:ascii="Times New Roman" w:hAnsi="Times New Roman" w:cs="Times New Roman" w:hint="eastAsia"/>
        </w:rPr>
        <w:t>成長率は</w:t>
      </w:r>
      <w:r>
        <w:rPr>
          <w:rFonts w:ascii="Times New Roman" w:hAnsi="Times New Roman" w:cs="Times New Roman" w:hint="eastAsia"/>
        </w:rPr>
        <w:t>2006</w:t>
      </w:r>
      <w:r>
        <w:rPr>
          <w:rFonts w:ascii="Times New Roman" w:hAnsi="Times New Roman" w:cs="Times New Roman" w:hint="eastAsia"/>
        </w:rPr>
        <w:t>年に</w:t>
      </w:r>
      <w:r>
        <w:rPr>
          <w:rFonts w:ascii="Times New Roman" w:hAnsi="Times New Roman" w:cs="Times New Roman" w:hint="eastAsia"/>
        </w:rPr>
        <w:t>5.8</w:t>
      </w:r>
      <w:r>
        <w:rPr>
          <w:rFonts w:ascii="Times New Roman" w:hAnsi="Times New Roman" w:cs="Times New Roman" w:hint="eastAsia"/>
        </w:rPr>
        <w:t>％、</w:t>
      </w:r>
      <w:r>
        <w:rPr>
          <w:rFonts w:ascii="Times New Roman" w:hAnsi="Times New Roman" w:cs="Times New Roman" w:hint="eastAsia"/>
        </w:rPr>
        <w:t>2007</w:t>
      </w:r>
      <w:r>
        <w:rPr>
          <w:rFonts w:ascii="Times New Roman" w:hAnsi="Times New Roman" w:cs="Times New Roman" w:hint="eastAsia"/>
        </w:rPr>
        <w:t>年には</w:t>
      </w:r>
      <w:r>
        <w:rPr>
          <w:rFonts w:ascii="Times New Roman" w:hAnsi="Times New Roman" w:cs="Times New Roman" w:hint="eastAsia"/>
        </w:rPr>
        <w:t>6.8</w:t>
      </w:r>
      <w:r>
        <w:rPr>
          <w:rFonts w:ascii="Times New Roman" w:hAnsi="Times New Roman" w:cs="Times New Roman" w:hint="eastAsia"/>
        </w:rPr>
        <w:t>％を記録した。総固定資本投資も</w:t>
      </w:r>
      <w:r>
        <w:rPr>
          <w:rFonts w:ascii="Times New Roman" w:hAnsi="Times New Roman" w:cs="Times New Roman" w:hint="eastAsia"/>
        </w:rPr>
        <w:t>2005</w:t>
      </w:r>
      <w:r>
        <w:rPr>
          <w:rFonts w:ascii="Times New Roman" w:hAnsi="Times New Roman" w:cs="Times New Roman" w:hint="eastAsia"/>
        </w:rPr>
        <w:t>年</w:t>
      </w:r>
      <w:r>
        <w:rPr>
          <w:rFonts w:ascii="Times New Roman" w:hAnsi="Times New Roman" w:cs="Times New Roman" w:hint="eastAsia"/>
        </w:rPr>
        <w:lastRenderedPageBreak/>
        <w:t>には</w:t>
      </w:r>
      <w:r w:rsidR="00BF7159">
        <w:rPr>
          <w:rFonts w:ascii="Times New Roman" w:hAnsi="Times New Roman" w:cs="Times New Roman" w:hint="eastAsia"/>
        </w:rPr>
        <w:t>対前年比の伸び率が</w:t>
      </w:r>
      <w:r w:rsidR="00BF7159">
        <w:rPr>
          <w:rFonts w:ascii="Times New Roman" w:hAnsi="Times New Roman" w:cs="Times New Roman" w:hint="eastAsia"/>
        </w:rPr>
        <w:t>2.5</w:t>
      </w:r>
      <w:r w:rsidR="00BF7159">
        <w:rPr>
          <w:rFonts w:ascii="Times New Roman" w:hAnsi="Times New Roman" w:cs="Times New Roman" w:hint="eastAsia"/>
        </w:rPr>
        <w:t>％であったのに、</w:t>
      </w:r>
      <w:r w:rsidR="00BF7159">
        <w:rPr>
          <w:rFonts w:ascii="Times New Roman" w:hAnsi="Times New Roman" w:cs="Times New Roman" w:hint="eastAsia"/>
        </w:rPr>
        <w:t>2006</w:t>
      </w:r>
      <w:r w:rsidR="00BF7159">
        <w:rPr>
          <w:rFonts w:ascii="Times New Roman" w:hAnsi="Times New Roman" w:cs="Times New Roman" w:hint="eastAsia"/>
        </w:rPr>
        <w:t>年と</w:t>
      </w:r>
      <w:r w:rsidR="00BF7159">
        <w:rPr>
          <w:rFonts w:ascii="Times New Roman" w:hAnsi="Times New Roman" w:cs="Times New Roman" w:hint="eastAsia"/>
        </w:rPr>
        <w:t>2007</w:t>
      </w:r>
      <w:r w:rsidR="00BF7159">
        <w:rPr>
          <w:rFonts w:ascii="Times New Roman" w:hAnsi="Times New Roman" w:cs="Times New Roman" w:hint="eastAsia"/>
        </w:rPr>
        <w:t>年には</w:t>
      </w:r>
      <w:r w:rsidR="00BF7159">
        <w:rPr>
          <w:rFonts w:ascii="Times New Roman" w:hAnsi="Times New Roman" w:cs="Times New Roman" w:hint="eastAsia"/>
        </w:rPr>
        <w:t>2</w:t>
      </w:r>
      <w:r w:rsidR="00BF7159">
        <w:rPr>
          <w:rFonts w:ascii="Times New Roman" w:hAnsi="Times New Roman" w:cs="Times New Roman" w:hint="eastAsia"/>
        </w:rPr>
        <w:t>桁の伸び率を記録した（表）。</w:t>
      </w:r>
      <w:r w:rsidR="00BF7159">
        <w:rPr>
          <w:rFonts w:ascii="Times New Roman" w:hAnsi="Times New Roman" w:cs="Times New Roman" w:hint="eastAsia"/>
        </w:rPr>
        <w:t>2007</w:t>
      </w:r>
      <w:r w:rsidR="00BF7159">
        <w:rPr>
          <w:rFonts w:ascii="Times New Roman" w:hAnsi="Times New Roman" w:cs="Times New Roman" w:hint="eastAsia"/>
        </w:rPr>
        <w:t>年に急速に成長したセクターは、建設業（</w:t>
      </w:r>
      <w:r w:rsidR="00BF7159">
        <w:rPr>
          <w:rFonts w:ascii="Times New Roman" w:hAnsi="Times New Roman" w:cs="Times New Roman" w:hint="eastAsia"/>
        </w:rPr>
        <w:t>18.4</w:t>
      </w:r>
      <w:r w:rsidR="00BF7159">
        <w:rPr>
          <w:rFonts w:ascii="Times New Roman" w:hAnsi="Times New Roman" w:cs="Times New Roman" w:hint="eastAsia"/>
        </w:rPr>
        <w:t>％）と金融仲介業（</w:t>
      </w:r>
      <w:r w:rsidR="00BF7159">
        <w:rPr>
          <w:rFonts w:ascii="Times New Roman" w:hAnsi="Times New Roman" w:cs="Times New Roman" w:hint="eastAsia"/>
        </w:rPr>
        <w:t>12.1</w:t>
      </w:r>
      <w:r w:rsidR="00BF7159">
        <w:rPr>
          <w:rFonts w:ascii="Times New Roman" w:hAnsi="Times New Roman" w:cs="Times New Roman" w:hint="eastAsia"/>
        </w:rPr>
        <w:t>％）であり、次いで製造業（</w:t>
      </w:r>
      <w:r w:rsidR="00BF7159">
        <w:rPr>
          <w:rFonts w:ascii="Times New Roman" w:hAnsi="Times New Roman" w:cs="Times New Roman" w:hint="eastAsia"/>
        </w:rPr>
        <w:t>8.3</w:t>
      </w:r>
      <w:r w:rsidR="00BF7159">
        <w:rPr>
          <w:rFonts w:ascii="Times New Roman" w:hAnsi="Times New Roman" w:cs="Times New Roman" w:hint="eastAsia"/>
        </w:rPr>
        <w:t>％）と小売商業（</w:t>
      </w:r>
      <w:r w:rsidR="00BF7159">
        <w:rPr>
          <w:rFonts w:ascii="Times New Roman" w:hAnsi="Times New Roman" w:cs="Times New Roman" w:hint="eastAsia"/>
        </w:rPr>
        <w:t>7.6</w:t>
      </w:r>
      <w:r w:rsidR="00BF7159">
        <w:rPr>
          <w:rFonts w:ascii="Times New Roman" w:hAnsi="Times New Roman" w:cs="Times New Roman" w:hint="eastAsia"/>
        </w:rPr>
        <w:t>％）であった。建設業は</w:t>
      </w:r>
      <w:r w:rsidR="00BF7159">
        <w:rPr>
          <w:rFonts w:ascii="Times New Roman" w:hAnsi="Times New Roman" w:cs="Times New Roman" w:hint="eastAsia"/>
        </w:rPr>
        <w:t>2005</w:t>
      </w:r>
      <w:r w:rsidR="00BF7159">
        <w:rPr>
          <w:rFonts w:ascii="Times New Roman" w:hAnsi="Times New Roman" w:cs="Times New Roman" w:hint="eastAsia"/>
        </w:rPr>
        <w:t>年には</w:t>
      </w:r>
      <w:r w:rsidR="00BF7159">
        <w:rPr>
          <w:rFonts w:ascii="Times New Roman" w:hAnsi="Times New Roman" w:cs="Times New Roman" w:hint="eastAsia"/>
        </w:rPr>
        <w:t>3.0</w:t>
      </w:r>
      <w:r w:rsidR="00BF7159">
        <w:rPr>
          <w:rFonts w:ascii="Times New Roman" w:hAnsi="Times New Roman" w:cs="Times New Roman" w:hint="eastAsia"/>
        </w:rPr>
        <w:t>％の成長であったのに、</w:t>
      </w:r>
      <w:r w:rsidR="00BF7159">
        <w:rPr>
          <w:rFonts w:ascii="Times New Roman" w:hAnsi="Times New Roman" w:cs="Times New Roman" w:hint="eastAsia"/>
        </w:rPr>
        <w:t>2006</w:t>
      </w:r>
      <w:r w:rsidR="00BF7159">
        <w:rPr>
          <w:rFonts w:ascii="Times New Roman" w:hAnsi="Times New Roman" w:cs="Times New Roman" w:hint="eastAsia"/>
        </w:rPr>
        <w:t>年から</w:t>
      </w:r>
      <w:r w:rsidR="00BF7159">
        <w:rPr>
          <w:rFonts w:ascii="Times New Roman" w:hAnsi="Times New Roman" w:cs="Times New Roman" w:hint="eastAsia"/>
        </w:rPr>
        <w:t>3</w:t>
      </w:r>
      <w:r w:rsidR="00BF7159">
        <w:rPr>
          <w:rFonts w:ascii="Times New Roman" w:hAnsi="Times New Roman" w:cs="Times New Roman" w:hint="eastAsia"/>
        </w:rPr>
        <w:t>年連続</w:t>
      </w:r>
      <w:r w:rsidR="00BF7159">
        <w:rPr>
          <w:rFonts w:ascii="Times New Roman" w:hAnsi="Times New Roman" w:cs="Times New Roman" w:hint="eastAsia"/>
        </w:rPr>
        <w:t>2</w:t>
      </w:r>
      <w:r w:rsidR="00BF7159">
        <w:rPr>
          <w:rFonts w:ascii="Times New Roman" w:hAnsi="Times New Roman" w:cs="Times New Roman" w:hint="eastAsia"/>
        </w:rPr>
        <w:t>桁成長を記録した。とくに</w:t>
      </w:r>
      <w:r w:rsidR="00BF7159">
        <w:rPr>
          <w:rFonts w:ascii="Times New Roman" w:hAnsi="Times New Roman" w:cs="Times New Roman" w:hint="eastAsia"/>
        </w:rPr>
        <w:t>2008</w:t>
      </w:r>
      <w:r w:rsidR="00BF7159">
        <w:rPr>
          <w:rFonts w:ascii="Times New Roman" w:hAnsi="Times New Roman" w:cs="Times New Roman" w:hint="eastAsia"/>
        </w:rPr>
        <w:t>年の第</w:t>
      </w:r>
      <w:r w:rsidR="00BF7159">
        <w:rPr>
          <w:rFonts w:ascii="Times New Roman" w:hAnsi="Times New Roman" w:cs="Times New Roman" w:hint="eastAsia"/>
        </w:rPr>
        <w:t>1</w:t>
      </w:r>
      <w:r w:rsidR="00BF7159">
        <w:rPr>
          <w:rFonts w:ascii="Times New Roman" w:hAnsi="Times New Roman" w:cs="Times New Roman" w:hint="eastAsia"/>
        </w:rPr>
        <w:t>四半期には前年同期比</w:t>
      </w:r>
      <w:r w:rsidR="00BF7159">
        <w:rPr>
          <w:rFonts w:ascii="Times New Roman" w:hAnsi="Times New Roman" w:cs="Times New Roman" w:hint="eastAsia"/>
        </w:rPr>
        <w:t>32.5</w:t>
      </w:r>
      <w:r w:rsidR="00BF7159">
        <w:rPr>
          <w:rFonts w:ascii="Times New Roman" w:hAnsi="Times New Roman" w:cs="Times New Roman" w:hint="eastAsia"/>
        </w:rPr>
        <w:t>％を記録した。</w:t>
      </w:r>
      <w:r w:rsidR="00BF7159">
        <w:rPr>
          <w:rFonts w:ascii="Times New Roman" w:hAnsi="Times New Roman" w:cs="Times New Roman" w:hint="eastAsia"/>
        </w:rPr>
        <w:t>GDP</w:t>
      </w:r>
      <w:r w:rsidR="00BF7159">
        <w:rPr>
          <w:rFonts w:ascii="Times New Roman" w:hAnsi="Times New Roman" w:cs="Times New Roman" w:hint="eastAsia"/>
        </w:rPr>
        <w:t>に占める建設業の割合は</w:t>
      </w:r>
      <w:r w:rsidR="00BF7159">
        <w:rPr>
          <w:rFonts w:ascii="Times New Roman" w:hAnsi="Times New Roman" w:cs="Times New Roman" w:hint="eastAsia"/>
        </w:rPr>
        <w:t>5.8</w:t>
      </w:r>
      <w:r w:rsidR="00BF7159">
        <w:rPr>
          <w:rFonts w:ascii="Times New Roman" w:hAnsi="Times New Roman" w:cs="Times New Roman" w:hint="eastAsia"/>
        </w:rPr>
        <w:t>％から</w:t>
      </w:r>
      <w:r w:rsidR="00BF7159">
        <w:rPr>
          <w:rFonts w:ascii="Times New Roman" w:hAnsi="Times New Roman" w:cs="Times New Roman" w:hint="eastAsia"/>
        </w:rPr>
        <w:t>8.5</w:t>
      </w:r>
      <w:r w:rsidR="00BF7159">
        <w:rPr>
          <w:rFonts w:ascii="Times New Roman" w:hAnsi="Times New Roman" w:cs="Times New Roman" w:hint="eastAsia"/>
        </w:rPr>
        <w:t>％へと高まった。リュブリアナ証券取引所指数（</w:t>
      </w:r>
      <w:r w:rsidR="00BF7159">
        <w:rPr>
          <w:rFonts w:ascii="Times New Roman" w:hAnsi="Times New Roman" w:cs="Times New Roman" w:hint="eastAsia"/>
        </w:rPr>
        <w:t>SBI</w:t>
      </w:r>
      <w:r w:rsidR="00BF7159">
        <w:rPr>
          <w:rFonts w:ascii="Times New Roman" w:hAnsi="Times New Roman" w:cs="Times New Roman" w:hint="eastAsia"/>
        </w:rPr>
        <w:t>指数）はそれまでの名目</w:t>
      </w:r>
      <w:r w:rsidR="00BF7159">
        <w:rPr>
          <w:rFonts w:ascii="Times New Roman" w:hAnsi="Times New Roman" w:cs="Times New Roman" w:hint="eastAsia"/>
        </w:rPr>
        <w:t>GDP</w:t>
      </w:r>
      <w:r w:rsidR="00BF7159">
        <w:rPr>
          <w:rFonts w:ascii="Times New Roman" w:hAnsi="Times New Roman" w:cs="Times New Roman" w:hint="eastAsia"/>
        </w:rPr>
        <w:t>成長率の動きとだいたい一致していた。ところが、</w:t>
      </w:r>
      <w:r w:rsidR="00BF7159">
        <w:rPr>
          <w:rFonts w:ascii="Times New Roman" w:hAnsi="Times New Roman" w:cs="Times New Roman" w:hint="eastAsia"/>
        </w:rPr>
        <w:t>2006</w:t>
      </w:r>
      <w:r w:rsidR="00BF7159">
        <w:rPr>
          <w:rFonts w:ascii="Times New Roman" w:hAnsi="Times New Roman" w:cs="Times New Roman" w:hint="eastAsia"/>
        </w:rPr>
        <w:t>年の初めにおける約</w:t>
      </w:r>
      <w:r w:rsidR="00BF7159">
        <w:rPr>
          <w:rFonts w:ascii="Times New Roman" w:hAnsi="Times New Roman" w:cs="Times New Roman" w:hint="eastAsia"/>
        </w:rPr>
        <w:t>4,300</w:t>
      </w:r>
      <w:r w:rsidR="00BF7159">
        <w:rPr>
          <w:rFonts w:ascii="Times New Roman" w:hAnsi="Times New Roman" w:cs="Times New Roman" w:hint="eastAsia"/>
        </w:rPr>
        <w:t>から</w:t>
      </w:r>
      <w:r w:rsidR="00BF7159">
        <w:rPr>
          <w:rFonts w:ascii="Times New Roman" w:hAnsi="Times New Roman" w:cs="Times New Roman" w:hint="eastAsia"/>
        </w:rPr>
        <w:t>2007</w:t>
      </w:r>
      <w:r w:rsidR="00BF7159">
        <w:rPr>
          <w:rFonts w:ascii="Times New Roman" w:hAnsi="Times New Roman" w:cs="Times New Roman" w:hint="eastAsia"/>
        </w:rPr>
        <w:t>年秋には</w:t>
      </w:r>
      <w:r w:rsidR="00BF7159">
        <w:rPr>
          <w:rFonts w:ascii="Times New Roman" w:hAnsi="Times New Roman" w:cs="Times New Roman" w:hint="eastAsia"/>
        </w:rPr>
        <w:t>12,000</w:t>
      </w:r>
      <w:r w:rsidR="00BF7159">
        <w:rPr>
          <w:rFonts w:ascii="Times New Roman" w:hAnsi="Times New Roman" w:cs="Times New Roman" w:hint="eastAsia"/>
        </w:rPr>
        <w:t>超（ピーク）へと</w:t>
      </w:r>
      <w:r w:rsidR="00BF7159">
        <w:rPr>
          <w:rFonts w:ascii="Times New Roman" w:hAnsi="Times New Roman" w:cs="Times New Roman" w:hint="eastAsia"/>
        </w:rPr>
        <w:t>2</w:t>
      </w:r>
      <w:r w:rsidR="00BF7159">
        <w:rPr>
          <w:rFonts w:ascii="Times New Roman" w:hAnsi="Times New Roman" w:cs="Times New Roman" w:hint="eastAsia"/>
        </w:rPr>
        <w:t>年もしないうちに</w:t>
      </w:r>
      <w:r w:rsidR="00BF7159">
        <w:rPr>
          <w:rFonts w:ascii="Times New Roman" w:hAnsi="Times New Roman" w:cs="Times New Roman" w:hint="eastAsia"/>
        </w:rPr>
        <w:t>3</w:t>
      </w:r>
      <w:r w:rsidR="00BF7159">
        <w:rPr>
          <w:rFonts w:ascii="Times New Roman" w:hAnsi="Times New Roman" w:cs="Times New Roman" w:hint="eastAsia"/>
        </w:rPr>
        <w:t>倍近くも急上昇した（</w:t>
      </w:r>
      <w:proofErr w:type="spellStart"/>
      <w:r w:rsidR="00BF7159">
        <w:rPr>
          <w:rFonts w:ascii="Times New Roman" w:hAnsi="Times New Roman" w:cs="Times New Roman" w:hint="eastAsia"/>
        </w:rPr>
        <w:t>Mencinger</w:t>
      </w:r>
      <w:proofErr w:type="spellEnd"/>
      <w:r w:rsidR="00BF7159">
        <w:rPr>
          <w:rFonts w:ascii="Times New Roman" w:hAnsi="Times New Roman" w:cs="Times New Roman" w:hint="eastAsia"/>
        </w:rPr>
        <w:t xml:space="preserve"> 2013</w:t>
      </w:r>
      <w:r w:rsidR="00BF7159">
        <w:rPr>
          <w:rFonts w:ascii="Times New Roman" w:hAnsi="Times New Roman" w:cs="Times New Roman" w:hint="eastAsia"/>
        </w:rPr>
        <w:t>）。</w:t>
      </w:r>
    </w:p>
    <w:p w:rsidR="008E2B95" w:rsidRPr="003D2124" w:rsidRDefault="008E2B95">
      <w:pPr>
        <w:rPr>
          <w:rFonts w:ascii="Times New Roman" w:hAnsi="Times New Roman" w:cs="Times New Roman"/>
        </w:rPr>
      </w:pPr>
    </w:p>
    <w:p w:rsidR="008E2B95" w:rsidRPr="003D2124" w:rsidRDefault="008E2B95">
      <w:pPr>
        <w:rPr>
          <w:rFonts w:ascii="Times New Roman" w:hAnsi="Times New Roman" w:cs="Times New Roman"/>
        </w:rPr>
      </w:pPr>
      <w:r w:rsidRPr="003D2124">
        <w:rPr>
          <w:rFonts w:ascii="Times New Roman" w:hAnsi="Times New Roman" w:cs="Times New Roman"/>
          <w:b/>
          <w:bCs/>
        </w:rPr>
        <w:t>ERM II</w:t>
      </w:r>
      <w:r w:rsidRPr="003D2124">
        <w:rPr>
          <w:rFonts w:ascii="Times New Roman" w:hAnsi="Times New Roman" w:cs="Times New Roman"/>
          <w:b/>
          <w:bCs/>
        </w:rPr>
        <w:t>への参加と「金融政策の真空状態」</w:t>
      </w:r>
    </w:p>
    <w:p w:rsidR="00E471FE" w:rsidRDefault="008E2B95" w:rsidP="00E471FE">
      <w:pPr>
        <w:ind w:firstLineChars="100" w:firstLine="210"/>
        <w:rPr>
          <w:rFonts w:ascii="Times New Roman" w:hAnsi="Times New Roman" w:cs="Times New Roman"/>
        </w:rPr>
      </w:pPr>
      <w:r w:rsidRPr="003D2124">
        <w:rPr>
          <w:rFonts w:ascii="Times New Roman" w:hAnsi="Times New Roman" w:cs="Times New Roman"/>
        </w:rPr>
        <w:t>2004</w:t>
      </w:r>
      <w:r w:rsidRPr="003D2124">
        <w:rPr>
          <w:rFonts w:ascii="Times New Roman" w:hAnsi="Times New Roman" w:cs="Times New Roman"/>
        </w:rPr>
        <w:t>年</w:t>
      </w:r>
      <w:r w:rsidRPr="003D2124">
        <w:rPr>
          <w:rFonts w:ascii="Times New Roman" w:hAnsi="Times New Roman" w:cs="Times New Roman"/>
        </w:rPr>
        <w:t>6</w:t>
      </w:r>
      <w:r w:rsidRPr="003D2124">
        <w:rPr>
          <w:rFonts w:ascii="Times New Roman" w:hAnsi="Times New Roman" w:cs="Times New Roman"/>
        </w:rPr>
        <w:t>月、スロヴェニアは</w:t>
      </w:r>
      <w:r w:rsidRPr="003D2124">
        <w:rPr>
          <w:rFonts w:ascii="Times New Roman" w:hAnsi="Times New Roman" w:cs="Times New Roman"/>
        </w:rPr>
        <w:t>EMU</w:t>
      </w:r>
      <w:r w:rsidRPr="003D2124">
        <w:rPr>
          <w:rFonts w:ascii="Times New Roman" w:hAnsi="Times New Roman" w:cs="Times New Roman"/>
        </w:rPr>
        <w:t>加盟（＝ユーロ導入）の前段階として</w:t>
      </w:r>
      <w:r w:rsidRPr="003D2124">
        <w:rPr>
          <w:rFonts w:ascii="Times New Roman" w:hAnsi="Times New Roman" w:cs="Times New Roman"/>
        </w:rPr>
        <w:t>ERM II</w:t>
      </w:r>
      <w:r w:rsidRPr="003D2124">
        <w:rPr>
          <w:rFonts w:ascii="Times New Roman" w:hAnsi="Times New Roman" w:cs="Times New Roman"/>
        </w:rPr>
        <w:t>（</w:t>
      </w:r>
      <w:r w:rsidRPr="003D2124">
        <w:rPr>
          <w:rFonts w:ascii="Times New Roman" w:hAnsi="Times New Roman" w:cs="Times New Roman"/>
        </w:rPr>
        <w:t>Exchange Rate Mechanism II</w:t>
      </w:r>
      <w:r w:rsidRPr="003D2124">
        <w:rPr>
          <w:rFonts w:ascii="Times New Roman" w:hAnsi="Times New Roman" w:cs="Times New Roman"/>
        </w:rPr>
        <w:t>）に参加</w:t>
      </w:r>
      <w:r w:rsidR="00FE42FE">
        <w:rPr>
          <w:rFonts w:ascii="Times New Roman" w:hAnsi="Times New Roman" w:cs="Times New Roman" w:hint="eastAsia"/>
        </w:rPr>
        <w:t>した</w:t>
      </w:r>
      <w:r w:rsidRPr="003D2124">
        <w:rPr>
          <w:rFonts w:ascii="Times New Roman" w:hAnsi="Times New Roman" w:cs="Times New Roman"/>
        </w:rPr>
        <w:t>。スロヴェニア通貨のトラルはユーロに対して非常に小幅でしか変動しなくなった。これは金融仲介セクターに重要な変化をもたらした。ソヴリン・リスク・プレミアムが低下</w:t>
      </w:r>
      <w:r w:rsidR="003B2D18">
        <w:rPr>
          <w:rFonts w:ascii="Times New Roman" w:hAnsi="Times New Roman" w:cs="Times New Roman" w:hint="eastAsia"/>
        </w:rPr>
        <w:t>し、</w:t>
      </w:r>
      <w:r w:rsidRPr="003D2124">
        <w:rPr>
          <w:rFonts w:ascii="Times New Roman" w:hAnsi="Times New Roman" w:cs="Times New Roman"/>
        </w:rPr>
        <w:t>トラルの名目金利がユーロ圏の金利へと収斂、つまり低下</w:t>
      </w:r>
      <w:r w:rsidR="003B2D18">
        <w:rPr>
          <w:rFonts w:ascii="Times New Roman" w:hAnsi="Times New Roman" w:cs="Times New Roman" w:hint="eastAsia"/>
        </w:rPr>
        <w:t>した</w:t>
      </w:r>
      <w:r w:rsidRPr="003D2124">
        <w:rPr>
          <w:rFonts w:ascii="Times New Roman" w:hAnsi="Times New Roman" w:cs="Times New Roman"/>
        </w:rPr>
        <w:t>。</w:t>
      </w:r>
      <w:r w:rsidR="00E471FE" w:rsidRPr="003D2124">
        <w:rPr>
          <w:rFonts w:ascii="Times New Roman" w:hAnsi="Times New Roman" w:cs="Times New Roman"/>
        </w:rPr>
        <w:t>家計の預金のかなりの部分が外国の証券の購入に向かい、純ポートフォリオの流出が増加した</w:t>
      </w:r>
      <w:r w:rsidR="00E471FE">
        <w:rPr>
          <w:rStyle w:val="ae"/>
          <w:rFonts w:ascii="Times New Roman" w:hAnsi="Times New Roman" w:cs="Times New Roman"/>
        </w:rPr>
        <w:footnoteReference w:id="13"/>
      </w:r>
      <w:r w:rsidR="00E471FE" w:rsidRPr="003D2124">
        <w:rPr>
          <w:rFonts w:ascii="Times New Roman" w:hAnsi="Times New Roman" w:cs="Times New Roman"/>
        </w:rPr>
        <w:t>。これは国際収支表でも確認できる。同時に、安価な資金が豊富に外国から流入した。まだユーロ圏には正式に加盟していないものの、金融の分野では、ユーロ圏の経済とスロヴェニア経済との間の垣根は事実上なくな</w:t>
      </w:r>
      <w:r w:rsidR="00E471FE">
        <w:rPr>
          <w:rFonts w:ascii="Times New Roman" w:hAnsi="Times New Roman" w:cs="Times New Roman" w:hint="eastAsia"/>
        </w:rPr>
        <w:t>った</w:t>
      </w:r>
      <w:r w:rsidR="00E471FE" w:rsidRPr="003D2124">
        <w:rPr>
          <w:rFonts w:ascii="Times New Roman" w:hAnsi="Times New Roman" w:cs="Times New Roman"/>
        </w:rPr>
        <w:t>。もちろん中央銀行が存在するものの、独自の金融政策は事実上もてなくなり、「金融政策の真空状態」（</w:t>
      </w:r>
      <w:r w:rsidR="000E7A35">
        <w:rPr>
          <w:rFonts w:ascii="Times New Roman" w:hAnsi="Times New Roman" w:cs="Times New Roman" w:hint="eastAsia"/>
        </w:rPr>
        <w:t>B</w:t>
      </w:r>
      <w:r w:rsidR="00E471FE" w:rsidRPr="003D2124">
        <w:rPr>
          <w:rFonts w:ascii="Times New Roman" w:hAnsi="Times New Roman" w:cs="Times New Roman"/>
        </w:rPr>
        <w:t>ole, et al, 2013, p.5</w:t>
      </w:r>
      <w:r w:rsidR="00E471FE" w:rsidRPr="003D2124">
        <w:rPr>
          <w:rFonts w:ascii="Times New Roman" w:hAnsi="Times New Roman" w:cs="Times New Roman"/>
        </w:rPr>
        <w:t>）が作り出された。</w:t>
      </w:r>
    </w:p>
    <w:p w:rsidR="00E471FE" w:rsidRPr="00E471FE" w:rsidRDefault="00E471FE" w:rsidP="00592DBA">
      <w:pPr>
        <w:ind w:firstLineChars="100" w:firstLine="210"/>
        <w:rPr>
          <w:rFonts w:ascii="Times New Roman" w:hAnsi="Times New Roman" w:cs="Times New Roman"/>
        </w:rPr>
      </w:pPr>
      <w:r w:rsidRPr="003D2124">
        <w:rPr>
          <w:rFonts w:ascii="Times New Roman" w:hAnsi="Times New Roman" w:cs="Times New Roman"/>
        </w:rPr>
        <w:t>資本市場が形成されてから歴史も浅く、スロヴェニアの企業は主として負債による資金調達（</w:t>
      </w:r>
      <w:r w:rsidRPr="003D2124">
        <w:rPr>
          <w:rFonts w:ascii="Times New Roman" w:hAnsi="Times New Roman" w:cs="Times New Roman"/>
        </w:rPr>
        <w:t>debt financing</w:t>
      </w:r>
      <w:r w:rsidRPr="003D2124">
        <w:rPr>
          <w:rFonts w:ascii="Times New Roman" w:hAnsi="Times New Roman" w:cs="Times New Roman"/>
        </w:rPr>
        <w:t>）に依存</w:t>
      </w:r>
      <w:r>
        <w:rPr>
          <w:rFonts w:ascii="Times New Roman" w:hAnsi="Times New Roman" w:cs="Times New Roman" w:hint="eastAsia"/>
        </w:rPr>
        <w:t>していた</w:t>
      </w:r>
      <w:r w:rsidRPr="003D2124">
        <w:rPr>
          <w:rFonts w:ascii="Times New Roman" w:hAnsi="Times New Roman" w:cs="Times New Roman"/>
        </w:rPr>
        <w:t>。</w:t>
      </w:r>
      <w:r>
        <w:rPr>
          <w:rFonts w:ascii="Times New Roman" w:hAnsi="Times New Roman" w:cs="Times New Roman" w:hint="eastAsia"/>
        </w:rPr>
        <w:t>1990</w:t>
      </w:r>
      <w:r>
        <w:rPr>
          <w:rFonts w:ascii="Times New Roman" w:hAnsi="Times New Roman" w:cs="Times New Roman" w:hint="eastAsia"/>
        </w:rPr>
        <w:t>年代には銀行間の競争は激しくなかった（</w:t>
      </w:r>
      <w:r>
        <w:rPr>
          <w:rFonts w:ascii="Times New Roman" w:hAnsi="Times New Roman" w:cs="Times New Roman" w:hint="eastAsia"/>
        </w:rPr>
        <w:t>World Bank, 1999, p. 65</w:t>
      </w:r>
      <w:r>
        <w:rPr>
          <w:rFonts w:ascii="Times New Roman" w:hAnsi="Times New Roman" w:cs="Times New Roman" w:hint="eastAsia"/>
        </w:rPr>
        <w:t>）。ところが、冒頭でも述べたように、単一通貨ユーロの誕生と</w:t>
      </w:r>
      <w:r>
        <w:rPr>
          <w:rFonts w:ascii="Times New Roman" w:hAnsi="Times New Roman" w:cs="Times New Roman" w:hint="eastAsia"/>
        </w:rPr>
        <w:t>2002</w:t>
      </w:r>
      <w:r>
        <w:rPr>
          <w:rFonts w:ascii="Times New Roman" w:hAnsi="Times New Roman" w:cs="Times New Roman" w:hint="eastAsia"/>
        </w:rPr>
        <w:t>年の現金のユーロの流通はヨーロッパの銀行業界を一変させた。そのため、スロヴェニアでも</w:t>
      </w:r>
      <w:r w:rsidR="00605516">
        <w:rPr>
          <w:rFonts w:ascii="Times New Roman" w:hAnsi="Times New Roman" w:cs="Times New Roman" w:hint="eastAsia"/>
        </w:rPr>
        <w:t>銀行間の競争が</w:t>
      </w:r>
      <w:r w:rsidR="00605516" w:rsidRPr="003D2124">
        <w:rPr>
          <w:rFonts w:ascii="Times New Roman" w:hAnsi="Times New Roman" w:cs="Times New Roman"/>
        </w:rPr>
        <w:t>激化</w:t>
      </w:r>
      <w:r w:rsidR="00605516">
        <w:rPr>
          <w:rFonts w:ascii="Times New Roman" w:hAnsi="Times New Roman" w:cs="Times New Roman" w:hint="eastAsia"/>
        </w:rPr>
        <w:t>した</w:t>
      </w:r>
      <w:r w:rsidR="00605516" w:rsidRPr="003D2124">
        <w:rPr>
          <w:rFonts w:ascii="Times New Roman" w:hAnsi="Times New Roman" w:cs="Times New Roman"/>
        </w:rPr>
        <w:t>。</w:t>
      </w:r>
      <w:r w:rsidR="00605516">
        <w:rPr>
          <w:rFonts w:ascii="Times New Roman" w:hAnsi="Times New Roman" w:cs="Times New Roman" w:hint="eastAsia"/>
        </w:rPr>
        <w:t>国家のコントロール下にある銀行もこの動きから逃れることができなかった。</w:t>
      </w:r>
      <w:r w:rsidR="00605516" w:rsidRPr="003D2124">
        <w:rPr>
          <w:rFonts w:ascii="Times New Roman" w:hAnsi="Times New Roman" w:cs="Times New Roman"/>
        </w:rPr>
        <w:t>くわえて、銀行のトップ・マネジメントのための報酬スキームが存在。「投げ売り価格」（</w:t>
      </w:r>
      <w:r w:rsidR="00605516" w:rsidRPr="003D2124">
        <w:rPr>
          <w:rFonts w:ascii="Times New Roman" w:hAnsi="Times New Roman" w:cs="Times New Roman"/>
        </w:rPr>
        <w:t>Bole, et al, 2013, p. 6</w:t>
      </w:r>
      <w:r w:rsidR="00605516" w:rsidRPr="003D2124">
        <w:rPr>
          <w:rFonts w:ascii="Times New Roman" w:hAnsi="Times New Roman" w:cs="Times New Roman"/>
        </w:rPr>
        <w:t>）とさえ呼</w:t>
      </w:r>
      <w:r w:rsidR="00605516">
        <w:rPr>
          <w:rFonts w:ascii="Times New Roman" w:hAnsi="Times New Roman" w:cs="Times New Roman" w:hint="eastAsia"/>
        </w:rPr>
        <w:t>ばれる</w:t>
      </w:r>
      <w:r w:rsidR="00605516" w:rsidRPr="003D2124">
        <w:rPr>
          <w:rFonts w:ascii="Times New Roman" w:hAnsi="Times New Roman" w:cs="Times New Roman"/>
        </w:rPr>
        <w:t>ような低金利で、銀行は融資を増やした。融資の担保は多くの場合、不動産であるが、それだけには限らない（有価証券もある）。当時、資産価格が急上昇していたので、利用可能な担保は豊富にあった。</w:t>
      </w:r>
    </w:p>
    <w:p w:rsidR="00592DBA" w:rsidRDefault="00592DBA" w:rsidP="00592DBA">
      <w:pPr>
        <w:rPr>
          <w:rFonts w:ascii="Times New Roman" w:hAnsi="Times New Roman" w:cs="Times New Roman"/>
        </w:rPr>
      </w:pPr>
    </w:p>
    <w:p w:rsidR="006308D0" w:rsidRDefault="006308D0" w:rsidP="00592DBA">
      <w:pPr>
        <w:rPr>
          <w:rFonts w:ascii="Times New Roman" w:hAnsi="Times New Roman" w:cs="Times New Roman"/>
        </w:rPr>
      </w:pPr>
    </w:p>
    <w:p w:rsidR="006308D0" w:rsidRDefault="006308D0" w:rsidP="00592DBA">
      <w:pPr>
        <w:rPr>
          <w:rFonts w:ascii="Times New Roman" w:hAnsi="Times New Roman" w:cs="Times New Roman"/>
        </w:rPr>
      </w:pPr>
    </w:p>
    <w:p w:rsidR="009D1D00" w:rsidRPr="00E408B7" w:rsidRDefault="00592DBA" w:rsidP="009D1D00">
      <w:pPr>
        <w:rPr>
          <w:rFonts w:ascii="Times New Roman" w:hAnsi="Times New Roman" w:cs="Times New Roman"/>
          <w:b/>
        </w:rPr>
      </w:pPr>
      <w:r>
        <w:rPr>
          <w:rFonts w:ascii="Times New Roman" w:hAnsi="Times New Roman" w:cs="Times New Roman" w:hint="eastAsia"/>
        </w:rPr>
        <w:lastRenderedPageBreak/>
        <w:t xml:space="preserve">  </w:t>
      </w:r>
      <w:r w:rsidR="00E408B7" w:rsidRPr="00E408B7">
        <w:rPr>
          <w:rFonts w:ascii="Times New Roman" w:hAnsi="Times New Roman" w:cs="Times New Roman" w:hint="eastAsia"/>
          <w:b/>
        </w:rPr>
        <w:t>図</w:t>
      </w:r>
      <w:r w:rsidR="00E408B7" w:rsidRPr="00E408B7">
        <w:rPr>
          <w:rFonts w:ascii="Times New Roman" w:hAnsi="Times New Roman" w:cs="Times New Roman" w:hint="eastAsia"/>
          <w:b/>
        </w:rPr>
        <w:t>4</w:t>
      </w:r>
      <w:r w:rsidR="00E408B7" w:rsidRPr="00E408B7">
        <w:rPr>
          <w:rFonts w:ascii="Times New Roman" w:hAnsi="Times New Roman" w:cs="Times New Roman" w:hint="eastAsia"/>
          <w:b/>
        </w:rPr>
        <w:t xml:space="preserve">　非金融企業に対する</w:t>
      </w:r>
      <w:r w:rsidR="00E408B7" w:rsidRPr="00E408B7">
        <w:rPr>
          <w:rFonts w:ascii="Times New Roman" w:hAnsi="Times New Roman" w:cs="Times New Roman" w:hint="eastAsia"/>
          <w:b/>
        </w:rPr>
        <w:t>100</w:t>
      </w:r>
      <w:r w:rsidR="00E408B7" w:rsidRPr="00E408B7">
        <w:rPr>
          <w:rFonts w:ascii="Times New Roman" w:hAnsi="Times New Roman" w:cs="Times New Roman" w:hint="eastAsia"/>
          <w:b/>
        </w:rPr>
        <w:t>万ユーロ超のローンの金利</w:t>
      </w:r>
    </w:p>
    <w:p w:rsidR="00E408B7" w:rsidRDefault="00E408B7" w:rsidP="009D1D00">
      <w:pPr>
        <w:rPr>
          <w:rFonts w:ascii="Times New Roman" w:hAnsi="Times New Roman" w:cs="Times New Roman"/>
        </w:rPr>
      </w:pPr>
      <w:r>
        <w:rPr>
          <w:noProof/>
        </w:rPr>
        <w:drawing>
          <wp:inline distT="0" distB="0" distL="0" distR="0" wp14:anchorId="0A86C124" wp14:editId="2B7E3FC4">
            <wp:extent cx="5400040" cy="2877211"/>
            <wp:effectExtent l="0" t="0" r="0" b="0"/>
            <wp:docPr id="4" name="図 4"/>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2877211"/>
                    </a:xfrm>
                    <a:prstGeom prst="rect">
                      <a:avLst/>
                    </a:prstGeom>
                    <a:noFill/>
                    <a:ln>
                      <a:noFill/>
                    </a:ln>
                  </pic:spPr>
                </pic:pic>
              </a:graphicData>
            </a:graphic>
          </wp:inline>
        </w:drawing>
      </w:r>
    </w:p>
    <w:p w:rsidR="00E408B7" w:rsidRDefault="00E408B7" w:rsidP="009D1D00">
      <w:pPr>
        <w:rPr>
          <w:rFonts w:ascii="Times New Roman" w:hAnsi="Times New Roman" w:cs="Times New Roman"/>
        </w:rPr>
      </w:pPr>
      <w:r>
        <w:rPr>
          <w:rFonts w:ascii="Times New Roman" w:hAnsi="Times New Roman" w:cs="Times New Roman" w:hint="eastAsia"/>
        </w:rPr>
        <w:t>出所：</w:t>
      </w:r>
      <w:r>
        <w:rPr>
          <w:rFonts w:ascii="Times New Roman" w:hAnsi="Times New Roman" w:cs="Times New Roman" w:hint="eastAsia"/>
          <w:szCs w:val="21"/>
        </w:rPr>
        <w:t>Bank of Slovenia, Annual Report 2007, p. 35.</w:t>
      </w:r>
    </w:p>
    <w:p w:rsidR="00E408B7" w:rsidRDefault="00E408B7" w:rsidP="009D1D00">
      <w:pPr>
        <w:rPr>
          <w:rFonts w:ascii="Times New Roman" w:hAnsi="Times New Roman" w:cs="Times New Roman"/>
        </w:rPr>
      </w:pPr>
    </w:p>
    <w:p w:rsidR="00605516" w:rsidRDefault="0073089D" w:rsidP="0073089D">
      <w:pPr>
        <w:rPr>
          <w:rFonts w:ascii="Times New Roman" w:hAnsi="Times New Roman" w:cs="Times New Roman"/>
        </w:rPr>
      </w:pPr>
      <w:r>
        <w:rPr>
          <w:rFonts w:ascii="Times New Roman" w:hAnsi="Times New Roman" w:cs="Times New Roman"/>
        </w:rPr>
        <w:object w:dxaOrig="7191" w:dyaOrig="5399">
          <v:shape id="_x0000_i1027" type="#_x0000_t75" style="width:433.5pt;height:325.5pt" o:ole="">
            <v:imagedata r:id="rId15" o:title=""/>
          </v:shape>
          <o:OLEObject Type="Embed" ProgID="PowerPoint.Slide.12" ShapeID="_x0000_i1027" DrawAspect="Content" ObjectID="_1480151398" r:id="rId16"/>
        </w:object>
      </w:r>
      <w:r w:rsidR="00605516" w:rsidRPr="003D2124">
        <w:rPr>
          <w:rFonts w:ascii="Times New Roman" w:hAnsi="Times New Roman" w:cs="Times New Roman"/>
        </w:rPr>
        <w:t>Bole</w:t>
      </w:r>
      <w:r w:rsidR="00605516" w:rsidRPr="003D2124">
        <w:rPr>
          <w:rFonts w:ascii="Times New Roman" w:hAnsi="Times New Roman" w:cs="Times New Roman"/>
        </w:rPr>
        <w:t>らは、企業の債務が累積するプロセスでは</w:t>
      </w:r>
      <w:r w:rsidR="00605516" w:rsidRPr="003D2124">
        <w:rPr>
          <w:rFonts w:ascii="Times New Roman" w:hAnsi="Times New Roman" w:cs="Times New Roman"/>
        </w:rPr>
        <w:t>financial accelerator</w:t>
      </w:r>
      <w:r w:rsidR="00605516" w:rsidRPr="003D2124">
        <w:rPr>
          <w:rFonts w:ascii="Times New Roman" w:hAnsi="Times New Roman" w:cs="Times New Roman"/>
        </w:rPr>
        <w:t>が作用したと指摘</w:t>
      </w:r>
      <w:r w:rsidR="00605516">
        <w:rPr>
          <w:rFonts w:ascii="Times New Roman" w:hAnsi="Times New Roman" w:cs="Times New Roman" w:hint="eastAsia"/>
        </w:rPr>
        <w:t>する</w:t>
      </w:r>
      <w:r w:rsidR="00605516" w:rsidRPr="003D2124">
        <w:rPr>
          <w:rFonts w:ascii="Times New Roman" w:hAnsi="Times New Roman" w:cs="Times New Roman"/>
        </w:rPr>
        <w:t>。つまり、融資の際の担保は、好況期においては、資産価値が上昇するので、銀行は追加的に企業に融資することが可能になる。非金融法人への信用は</w:t>
      </w:r>
      <w:r w:rsidR="00605516" w:rsidRPr="003D2124">
        <w:rPr>
          <w:rFonts w:ascii="Times New Roman" w:hAnsi="Times New Roman" w:cs="Times New Roman"/>
        </w:rPr>
        <w:t>2005-2008</w:t>
      </w:r>
      <w:r w:rsidR="00605516" w:rsidRPr="003D2124">
        <w:rPr>
          <w:rFonts w:ascii="Times New Roman" w:hAnsi="Times New Roman" w:cs="Times New Roman"/>
        </w:rPr>
        <w:t>年に</w:t>
      </w:r>
      <w:r w:rsidR="00605516" w:rsidRPr="003D2124">
        <w:rPr>
          <w:rFonts w:ascii="Times New Roman" w:hAnsi="Times New Roman" w:cs="Times New Roman"/>
        </w:rPr>
        <w:t>2</w:t>
      </w:r>
      <w:r w:rsidR="00605516" w:rsidRPr="003D2124">
        <w:rPr>
          <w:rFonts w:ascii="Times New Roman" w:hAnsi="Times New Roman" w:cs="Times New Roman"/>
        </w:rPr>
        <w:t>倍になり、非金融法人の債務は</w:t>
      </w:r>
      <w:r w:rsidR="00605516" w:rsidRPr="003D2124">
        <w:rPr>
          <w:rFonts w:ascii="Times New Roman" w:hAnsi="Times New Roman" w:cs="Times New Roman"/>
        </w:rPr>
        <w:t>GDP</w:t>
      </w:r>
      <w:r w:rsidR="00605516" w:rsidRPr="003D2124">
        <w:rPr>
          <w:rFonts w:ascii="Times New Roman" w:hAnsi="Times New Roman" w:cs="Times New Roman"/>
        </w:rPr>
        <w:t>のほぼ</w:t>
      </w:r>
      <w:r w:rsidR="00605516" w:rsidRPr="003D2124">
        <w:rPr>
          <w:rFonts w:ascii="Times New Roman" w:hAnsi="Times New Roman" w:cs="Times New Roman"/>
        </w:rPr>
        <w:t>90%</w:t>
      </w:r>
      <w:r w:rsidR="00605516" w:rsidRPr="003D2124">
        <w:rPr>
          <w:rFonts w:ascii="Times New Roman" w:hAnsi="Times New Roman" w:cs="Times New Roman"/>
        </w:rPr>
        <w:t>に達した（</w:t>
      </w:r>
      <w:r w:rsidR="00605516" w:rsidRPr="003D2124">
        <w:rPr>
          <w:rFonts w:ascii="Times New Roman" w:hAnsi="Times New Roman" w:cs="Times New Roman"/>
        </w:rPr>
        <w:t>Bole, et al, 2012</w:t>
      </w:r>
      <w:r w:rsidR="00605516" w:rsidRPr="003D2124">
        <w:rPr>
          <w:rFonts w:ascii="Times New Roman" w:hAnsi="Times New Roman" w:cs="Times New Roman"/>
        </w:rPr>
        <w:t>）。</w:t>
      </w:r>
    </w:p>
    <w:p w:rsidR="00605516" w:rsidRDefault="00605516">
      <w:pPr>
        <w:rPr>
          <w:rFonts w:ascii="Times New Roman" w:hAnsi="Times New Roman" w:cs="Times New Roman"/>
        </w:rPr>
      </w:pPr>
    </w:p>
    <w:p w:rsidR="00714523" w:rsidRPr="003D2124" w:rsidRDefault="00714523" w:rsidP="00714523">
      <w:pPr>
        <w:rPr>
          <w:rFonts w:ascii="Times New Roman" w:hAnsi="Times New Roman" w:cs="Times New Roman"/>
        </w:rPr>
      </w:pPr>
      <w:r w:rsidRPr="003D2124">
        <w:rPr>
          <w:rFonts w:ascii="Times New Roman" w:hAnsi="Times New Roman" w:cs="Times New Roman"/>
          <w:b/>
          <w:bCs/>
        </w:rPr>
        <w:t>リーマン・ショック</w:t>
      </w:r>
    </w:p>
    <w:p w:rsidR="00E408B7" w:rsidRDefault="00714523" w:rsidP="00E408B7">
      <w:pPr>
        <w:ind w:firstLineChars="100" w:firstLine="210"/>
        <w:rPr>
          <w:rFonts w:ascii="Times New Roman" w:hAnsi="Times New Roman" w:cs="Times New Roman"/>
        </w:rPr>
      </w:pPr>
      <w:r>
        <w:rPr>
          <w:rFonts w:ascii="Times New Roman" w:hAnsi="Times New Roman" w:cs="Times New Roman" w:hint="eastAsia"/>
        </w:rPr>
        <w:t>2008</w:t>
      </w:r>
      <w:r>
        <w:rPr>
          <w:rFonts w:ascii="Times New Roman" w:hAnsi="Times New Roman" w:cs="Times New Roman" w:hint="eastAsia"/>
        </w:rPr>
        <w:t>年</w:t>
      </w:r>
      <w:r>
        <w:rPr>
          <w:rFonts w:ascii="Times New Roman" w:hAnsi="Times New Roman" w:cs="Times New Roman" w:hint="eastAsia"/>
        </w:rPr>
        <w:t>9</w:t>
      </w:r>
      <w:r>
        <w:rPr>
          <w:rFonts w:ascii="Times New Roman" w:hAnsi="Times New Roman" w:cs="Times New Roman" w:hint="eastAsia"/>
        </w:rPr>
        <w:t>月のリーマン・ショックにより、まず</w:t>
      </w:r>
      <w:r w:rsidRPr="003D2124">
        <w:rPr>
          <w:rFonts w:ascii="Times New Roman" w:hAnsi="Times New Roman" w:cs="Times New Roman"/>
        </w:rPr>
        <w:t>インターバンク市場が逼迫</w:t>
      </w:r>
      <w:r>
        <w:rPr>
          <w:rFonts w:ascii="Times New Roman" w:hAnsi="Times New Roman" w:cs="Times New Roman" w:hint="eastAsia"/>
        </w:rPr>
        <w:t>したので、</w:t>
      </w:r>
      <w:r w:rsidRPr="003D2124">
        <w:rPr>
          <w:rFonts w:ascii="Times New Roman" w:hAnsi="Times New Roman" w:cs="Times New Roman"/>
        </w:rPr>
        <w:t>スロヴェニアの銀行は追加的資金を獲得することができなくなった。国際</w:t>
      </w:r>
      <w:r>
        <w:rPr>
          <w:rFonts w:ascii="Times New Roman" w:hAnsi="Times New Roman" w:cs="Times New Roman" w:hint="eastAsia"/>
        </w:rPr>
        <w:t>ホールセール</w:t>
      </w:r>
      <w:r w:rsidRPr="003D2124">
        <w:rPr>
          <w:rFonts w:ascii="Times New Roman" w:hAnsi="Times New Roman" w:cs="Times New Roman"/>
        </w:rPr>
        <w:t>金融市場も逼迫し、</w:t>
      </w:r>
      <w:r>
        <w:rPr>
          <w:rFonts w:ascii="Times New Roman" w:hAnsi="Times New Roman" w:cs="Times New Roman" w:hint="eastAsia"/>
        </w:rPr>
        <w:t>ここで</w:t>
      </w:r>
      <w:r w:rsidRPr="003D2124">
        <w:rPr>
          <w:rFonts w:ascii="Times New Roman" w:hAnsi="Times New Roman" w:cs="Times New Roman"/>
        </w:rPr>
        <w:t>資金を取り入れることも難しくなった。そのうえ、外国の銀行はスロヴェニアの銀行への信用供与を減らし始めた。</w:t>
      </w:r>
      <w:r>
        <w:rPr>
          <w:rFonts w:ascii="Times New Roman" w:hAnsi="Times New Roman" w:cs="Times New Roman" w:hint="eastAsia"/>
        </w:rPr>
        <w:t>したがって、</w:t>
      </w:r>
      <w:r w:rsidRPr="003D2124">
        <w:rPr>
          <w:rFonts w:ascii="Times New Roman" w:hAnsi="Times New Roman" w:cs="Times New Roman"/>
        </w:rPr>
        <w:t>国内の銀行は経済（企業・家計）への融資を減ら</w:t>
      </w:r>
      <w:r>
        <w:rPr>
          <w:rFonts w:ascii="Times New Roman" w:hAnsi="Times New Roman" w:cs="Times New Roman" w:hint="eastAsia"/>
        </w:rPr>
        <w:t>さざるを得なかった。そのため、企業に提供される融資は激減した。</w:t>
      </w:r>
      <w:r w:rsidRPr="003D2124">
        <w:rPr>
          <w:rFonts w:ascii="Times New Roman" w:hAnsi="Times New Roman" w:cs="Times New Roman"/>
        </w:rPr>
        <w:t>企業相互間のキャッシュ・フローが減少</w:t>
      </w:r>
      <w:r>
        <w:rPr>
          <w:rFonts w:ascii="Times New Roman" w:hAnsi="Times New Roman" w:cs="Times New Roman" w:hint="eastAsia"/>
        </w:rPr>
        <w:t>した</w:t>
      </w:r>
      <w:r w:rsidRPr="003D2124">
        <w:rPr>
          <w:rFonts w:ascii="Times New Roman" w:hAnsi="Times New Roman" w:cs="Times New Roman"/>
        </w:rPr>
        <w:t>。</w:t>
      </w:r>
      <w:r w:rsidRPr="003D2124">
        <w:rPr>
          <w:rFonts w:ascii="Times New Roman" w:hAnsi="Times New Roman" w:cs="Times New Roman"/>
        </w:rPr>
        <w:t>2009</w:t>
      </w:r>
      <w:r w:rsidRPr="003D2124">
        <w:rPr>
          <w:rFonts w:ascii="Times New Roman" w:hAnsi="Times New Roman" w:cs="Times New Roman"/>
        </w:rPr>
        <w:t>年に入ると、外部の需要、とくに</w:t>
      </w:r>
      <w:r w:rsidRPr="003D2124">
        <w:rPr>
          <w:rFonts w:ascii="Times New Roman" w:hAnsi="Times New Roman" w:cs="Times New Roman"/>
        </w:rPr>
        <w:t>EU</w:t>
      </w:r>
      <w:r w:rsidRPr="003D2124">
        <w:rPr>
          <w:rFonts w:ascii="Times New Roman" w:hAnsi="Times New Roman" w:cs="Times New Roman"/>
        </w:rPr>
        <w:t>市場での需要が顕著に低下し、輸出が減少した。それに伴い生産活動も減退した</w:t>
      </w:r>
      <w:r>
        <w:rPr>
          <w:rFonts w:ascii="Times New Roman" w:hAnsi="Times New Roman" w:cs="Times New Roman" w:hint="eastAsia"/>
        </w:rPr>
        <w:t>（図）</w:t>
      </w:r>
      <w:r w:rsidRPr="003D2124">
        <w:rPr>
          <w:rFonts w:ascii="Times New Roman" w:hAnsi="Times New Roman" w:cs="Times New Roman"/>
        </w:rPr>
        <w:t>。</w:t>
      </w:r>
    </w:p>
    <w:p w:rsidR="00E408B7" w:rsidRDefault="00E408B7" w:rsidP="00E408B7">
      <w:pPr>
        <w:rPr>
          <w:rFonts w:ascii="Times New Roman" w:hAnsi="Times New Roman" w:cs="Times New Roman"/>
        </w:rPr>
      </w:pPr>
      <w:r w:rsidRPr="00E408B7">
        <w:rPr>
          <w:rFonts w:ascii="Times New Roman" w:hAnsi="Times New Roman" w:cs="Times New Roman"/>
          <w:noProof/>
        </w:rPr>
        <w:drawing>
          <wp:inline distT="0" distB="0" distL="0" distR="0" wp14:anchorId="3FBEACDC" wp14:editId="10FA4DD7">
            <wp:extent cx="5435599" cy="40767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442862" cy="4082147"/>
                    </a:xfrm>
                    <a:prstGeom prst="rect">
                      <a:avLst/>
                    </a:prstGeom>
                  </pic:spPr>
                </pic:pic>
              </a:graphicData>
            </a:graphic>
          </wp:inline>
        </w:drawing>
      </w:r>
    </w:p>
    <w:p w:rsidR="00E408B7" w:rsidRDefault="00E408B7" w:rsidP="00E408B7">
      <w:pPr>
        <w:rPr>
          <w:rFonts w:ascii="Times New Roman" w:hAnsi="Times New Roman" w:cs="Times New Roman"/>
        </w:rPr>
      </w:pPr>
    </w:p>
    <w:p w:rsidR="00454BC9" w:rsidRPr="00592DBA" w:rsidRDefault="00292F95" w:rsidP="00592DBA">
      <w:pPr>
        <w:ind w:firstLineChars="100" w:firstLine="210"/>
        <w:rPr>
          <w:rFonts w:ascii="Times New Roman" w:hAnsi="Times New Roman" w:cs="Times New Roman"/>
        </w:rPr>
      </w:pPr>
      <w:r w:rsidRPr="003D2124">
        <w:rPr>
          <w:rFonts w:ascii="Times New Roman" w:hAnsi="Times New Roman" w:cs="Times New Roman"/>
        </w:rPr>
        <w:t>経済が不況に見舞われると、前述の</w:t>
      </w:r>
      <w:r w:rsidRPr="003D2124">
        <w:rPr>
          <w:rFonts w:ascii="Times New Roman" w:hAnsi="Times New Roman" w:cs="Times New Roman"/>
        </w:rPr>
        <w:t xml:space="preserve">financial accelerator </w:t>
      </w:r>
      <w:r w:rsidRPr="003D2124">
        <w:rPr>
          <w:rFonts w:ascii="Times New Roman" w:hAnsi="Times New Roman" w:cs="Times New Roman"/>
        </w:rPr>
        <w:t>が逆の作用</w:t>
      </w:r>
      <w:r>
        <w:rPr>
          <w:rFonts w:ascii="Times New Roman" w:hAnsi="Times New Roman" w:cs="Times New Roman" w:hint="eastAsia"/>
        </w:rPr>
        <w:t>をした。つまり、</w:t>
      </w:r>
      <w:r w:rsidRPr="003D2124">
        <w:rPr>
          <w:rFonts w:ascii="Times New Roman" w:hAnsi="Times New Roman" w:cs="Times New Roman"/>
        </w:rPr>
        <w:t>担保の資産価値が低下したので、担保を積み増す必要</w:t>
      </w:r>
      <w:r>
        <w:rPr>
          <w:rFonts w:ascii="Times New Roman" w:hAnsi="Times New Roman" w:cs="Times New Roman" w:hint="eastAsia"/>
        </w:rPr>
        <w:t>が生じた</w:t>
      </w:r>
      <w:r w:rsidRPr="003D2124">
        <w:rPr>
          <w:rFonts w:ascii="Times New Roman" w:hAnsi="Times New Roman" w:cs="Times New Roman"/>
        </w:rPr>
        <w:t>。銀行の顧客政策も信用供与に際して、時価評価（</w:t>
      </w:r>
      <w:r w:rsidRPr="003D2124">
        <w:rPr>
          <w:rFonts w:ascii="Times New Roman" w:hAnsi="Times New Roman" w:cs="Times New Roman"/>
        </w:rPr>
        <w:t>“mark to market”</w:t>
      </w:r>
      <w:r w:rsidRPr="003D2124">
        <w:rPr>
          <w:rFonts w:ascii="Times New Roman" w:hAnsi="Times New Roman" w:cs="Times New Roman"/>
        </w:rPr>
        <w:t>）からリスクを織り込んだ評価（</w:t>
      </w:r>
      <w:r w:rsidRPr="003D2124">
        <w:rPr>
          <w:rFonts w:ascii="Times New Roman" w:hAnsi="Times New Roman" w:cs="Times New Roman"/>
        </w:rPr>
        <w:t>“mark to risk”</w:t>
      </w:r>
      <w:r w:rsidRPr="003D2124">
        <w:rPr>
          <w:rFonts w:ascii="Times New Roman" w:hAnsi="Times New Roman" w:cs="Times New Roman"/>
        </w:rPr>
        <w:t>）へと</w:t>
      </w:r>
      <w:r>
        <w:rPr>
          <w:rFonts w:ascii="Times New Roman" w:hAnsi="Times New Roman" w:cs="Times New Roman" w:hint="eastAsia"/>
        </w:rPr>
        <w:t>顧</w:t>
      </w:r>
      <w:r>
        <w:rPr>
          <w:rFonts w:ascii="Times New Roman" w:hAnsi="Times New Roman" w:cs="Times New Roman" w:hint="eastAsia"/>
        </w:rPr>
        <w:lastRenderedPageBreak/>
        <w:t>客へのアプローチを変えた</w:t>
      </w:r>
      <w:r w:rsidRPr="003D2124">
        <w:rPr>
          <w:rFonts w:ascii="Times New Roman" w:hAnsi="Times New Roman" w:cs="Times New Roman"/>
        </w:rPr>
        <w:t>。</w:t>
      </w:r>
      <w:r>
        <w:rPr>
          <w:rFonts w:ascii="Times New Roman" w:hAnsi="Times New Roman" w:cs="Times New Roman" w:hint="eastAsia"/>
        </w:rPr>
        <w:t>以前とは対照的に、銀行は信用供与に慎重になり、</w:t>
      </w:r>
      <w:r w:rsidRPr="003D2124">
        <w:rPr>
          <w:rFonts w:ascii="Times New Roman" w:hAnsi="Times New Roman" w:cs="Times New Roman"/>
        </w:rPr>
        <w:t>担保の要件</w:t>
      </w:r>
      <w:r>
        <w:rPr>
          <w:rFonts w:ascii="Times New Roman" w:hAnsi="Times New Roman" w:cs="Times New Roman" w:hint="eastAsia"/>
        </w:rPr>
        <w:t>を</w:t>
      </w:r>
      <w:r w:rsidRPr="003D2124">
        <w:rPr>
          <w:rFonts w:ascii="Times New Roman" w:hAnsi="Times New Roman" w:cs="Times New Roman"/>
        </w:rPr>
        <w:t>引き上げ</w:t>
      </w:r>
      <w:r>
        <w:rPr>
          <w:rFonts w:ascii="Times New Roman" w:hAnsi="Times New Roman" w:cs="Times New Roman" w:hint="eastAsia"/>
        </w:rPr>
        <w:t>た</w:t>
      </w:r>
      <w:r w:rsidRPr="003D2124">
        <w:rPr>
          <w:rFonts w:ascii="Times New Roman" w:hAnsi="Times New Roman" w:cs="Times New Roman"/>
        </w:rPr>
        <w:t>。</w:t>
      </w:r>
      <w:r w:rsidRPr="003D2124">
        <w:rPr>
          <w:rFonts w:ascii="Times New Roman" w:hAnsi="Times New Roman" w:cs="Times New Roman"/>
        </w:rPr>
        <w:t>2008</w:t>
      </w:r>
      <w:r w:rsidRPr="003D2124">
        <w:rPr>
          <w:rFonts w:ascii="Times New Roman" w:hAnsi="Times New Roman" w:cs="Times New Roman"/>
        </w:rPr>
        <w:t>年から</w:t>
      </w:r>
      <w:r w:rsidRPr="003D2124">
        <w:rPr>
          <w:rFonts w:ascii="Times New Roman" w:hAnsi="Times New Roman" w:cs="Times New Roman"/>
        </w:rPr>
        <w:t>2011</w:t>
      </w:r>
      <w:r w:rsidRPr="003D2124">
        <w:rPr>
          <w:rFonts w:ascii="Times New Roman" w:hAnsi="Times New Roman" w:cs="Times New Roman"/>
        </w:rPr>
        <w:t>年にかけて平均の</w:t>
      </w:r>
      <w:r w:rsidRPr="003D2124">
        <w:rPr>
          <w:rFonts w:ascii="Times New Roman" w:hAnsi="Times New Roman" w:cs="Times New Roman"/>
        </w:rPr>
        <w:t>collateral coverage</w:t>
      </w:r>
      <w:r w:rsidRPr="003D2124">
        <w:rPr>
          <w:rFonts w:ascii="Times New Roman" w:hAnsi="Times New Roman" w:cs="Times New Roman"/>
        </w:rPr>
        <w:t>は</w:t>
      </w:r>
      <w:r w:rsidRPr="003D2124">
        <w:rPr>
          <w:rFonts w:ascii="Times New Roman" w:hAnsi="Times New Roman" w:cs="Times New Roman"/>
        </w:rPr>
        <w:t>0.87</w:t>
      </w:r>
      <w:r w:rsidRPr="003D2124">
        <w:rPr>
          <w:rFonts w:ascii="Times New Roman" w:hAnsi="Times New Roman" w:cs="Times New Roman"/>
        </w:rPr>
        <w:t>から</w:t>
      </w:r>
      <w:r w:rsidRPr="003D2124">
        <w:rPr>
          <w:rFonts w:ascii="Times New Roman" w:hAnsi="Times New Roman" w:cs="Times New Roman"/>
        </w:rPr>
        <w:t>1.2</w:t>
      </w:r>
      <w:r w:rsidRPr="003D2124">
        <w:rPr>
          <w:rFonts w:ascii="Times New Roman" w:hAnsi="Times New Roman" w:cs="Times New Roman"/>
        </w:rPr>
        <w:t>へと高まる。</w:t>
      </w:r>
      <w:r>
        <w:rPr>
          <w:rFonts w:ascii="Times New Roman" w:hAnsi="Times New Roman" w:cs="Times New Roman" w:hint="eastAsia"/>
        </w:rPr>
        <w:t>銀行は、借り手側の需要を満たすのに十分な融資可能な資金を欠いていたので、</w:t>
      </w:r>
      <w:r w:rsidRPr="003D2124">
        <w:rPr>
          <w:rFonts w:ascii="Times New Roman" w:hAnsi="Times New Roman" w:cs="Times New Roman"/>
        </w:rPr>
        <w:t>銀行は信用割当（</w:t>
      </w:r>
      <w:r w:rsidRPr="003D2124">
        <w:rPr>
          <w:rFonts w:ascii="Times New Roman" w:hAnsi="Times New Roman" w:cs="Times New Roman"/>
        </w:rPr>
        <w:t>credit rationing</w:t>
      </w:r>
      <w:r w:rsidRPr="003D2124">
        <w:rPr>
          <w:rFonts w:ascii="Times New Roman" w:hAnsi="Times New Roman" w:cs="Times New Roman"/>
        </w:rPr>
        <w:t>）</w:t>
      </w:r>
      <w:r>
        <w:rPr>
          <w:rFonts w:ascii="Times New Roman" w:hAnsi="Times New Roman" w:cs="Times New Roman" w:hint="eastAsia"/>
        </w:rPr>
        <w:t>を始め、融資の伸びは大幅に落ち込んだ</w:t>
      </w:r>
      <w:r w:rsidRPr="003D2124">
        <w:rPr>
          <w:rFonts w:ascii="Times New Roman" w:hAnsi="Times New Roman" w:cs="Times New Roman"/>
        </w:rPr>
        <w:t>。</w:t>
      </w:r>
      <w:r>
        <w:rPr>
          <w:rFonts w:ascii="Times New Roman" w:hAnsi="Times New Roman" w:cs="Times New Roman" w:hint="eastAsia"/>
        </w:rPr>
        <w:t>危機以前と比べると、企業のキャッシュ・フローは大幅に減少したので、</w:t>
      </w:r>
      <w:r>
        <w:rPr>
          <w:rFonts w:ascii="Times New Roman" w:hAnsi="Times New Roman" w:cs="Times New Roman"/>
        </w:rPr>
        <w:t>買い手－供給者の間での支払遅延が広ま</w:t>
      </w:r>
      <w:r>
        <w:rPr>
          <w:rFonts w:ascii="Times New Roman" w:hAnsi="Times New Roman" w:cs="Times New Roman" w:hint="eastAsia"/>
        </w:rPr>
        <w:t>ったが、これは不況をいっそう強めた（</w:t>
      </w:r>
      <w:r w:rsidRPr="003D2124">
        <w:rPr>
          <w:rFonts w:ascii="Times New Roman" w:hAnsi="Times New Roman" w:cs="Times New Roman"/>
        </w:rPr>
        <w:t>Vole, et al, 201</w:t>
      </w:r>
      <w:r>
        <w:rPr>
          <w:rFonts w:ascii="Times New Roman" w:hAnsi="Times New Roman" w:cs="Times New Roman" w:hint="eastAsia"/>
        </w:rPr>
        <w:t>1</w:t>
      </w:r>
      <w:r>
        <w:rPr>
          <w:rFonts w:ascii="Times New Roman" w:hAnsi="Times New Roman" w:cs="Times New Roman" w:hint="eastAsia"/>
        </w:rPr>
        <w:t>）。</w:t>
      </w:r>
    </w:p>
    <w:p w:rsidR="009D0D95" w:rsidRPr="003D2124" w:rsidRDefault="009D0D95" w:rsidP="009D0D95">
      <w:pPr>
        <w:ind w:firstLineChars="100" w:firstLine="210"/>
        <w:rPr>
          <w:rFonts w:ascii="Times New Roman" w:hAnsi="Times New Roman" w:cs="Times New Roman"/>
        </w:rPr>
      </w:pPr>
      <w:r>
        <w:rPr>
          <w:rFonts w:ascii="Times New Roman" w:hAnsi="Times New Roman" w:cs="Times New Roman" w:hint="eastAsia"/>
        </w:rPr>
        <w:t>企業はそれぞれ経済危機を生き延びるために努力したが、破産に追い込まれる企業も多かった。とくに深刻であったのは建設業である。グローバル危機勃発後、住宅需要が減少した</w:t>
      </w:r>
      <w:r>
        <w:rPr>
          <w:rStyle w:val="ae"/>
          <w:rFonts w:ascii="Times New Roman" w:hAnsi="Times New Roman" w:cs="Times New Roman"/>
        </w:rPr>
        <w:footnoteReference w:id="14"/>
      </w:r>
      <w:r>
        <w:rPr>
          <w:rFonts w:ascii="Times New Roman" w:hAnsi="Times New Roman" w:cs="Times New Roman" w:hint="eastAsia"/>
        </w:rPr>
        <w:t>。過去</w:t>
      </w:r>
      <w:r>
        <w:rPr>
          <w:rFonts w:ascii="Times New Roman" w:hAnsi="Times New Roman" w:cs="Times New Roman" w:hint="eastAsia"/>
        </w:rPr>
        <w:t>3</w:t>
      </w:r>
      <w:r>
        <w:rPr>
          <w:rFonts w:ascii="Times New Roman" w:hAnsi="Times New Roman" w:cs="Times New Roman" w:hint="eastAsia"/>
        </w:rPr>
        <w:t>年間毎年実質で</w:t>
      </w:r>
      <w:r>
        <w:rPr>
          <w:rFonts w:ascii="Times New Roman" w:hAnsi="Times New Roman" w:cs="Times New Roman" w:hint="eastAsia"/>
        </w:rPr>
        <w:t>2</w:t>
      </w:r>
      <w:r>
        <w:rPr>
          <w:rFonts w:ascii="Times New Roman" w:hAnsi="Times New Roman" w:cs="Times New Roman" w:hint="eastAsia"/>
        </w:rPr>
        <w:t>桁の成長をしてきた建設セクターでは、</w:t>
      </w:r>
      <w:r>
        <w:rPr>
          <w:rFonts w:ascii="Times New Roman" w:hAnsi="Times New Roman" w:cs="Times New Roman" w:hint="eastAsia"/>
        </w:rPr>
        <w:t>2008</w:t>
      </w:r>
      <w:r>
        <w:rPr>
          <w:rFonts w:ascii="Times New Roman" w:hAnsi="Times New Roman" w:cs="Times New Roman" w:hint="eastAsia"/>
        </w:rPr>
        <w:t>年第</w:t>
      </w:r>
      <w:r>
        <w:rPr>
          <w:rFonts w:ascii="Times New Roman" w:hAnsi="Times New Roman" w:cs="Times New Roman" w:hint="eastAsia"/>
        </w:rPr>
        <w:t>4</w:t>
      </w:r>
      <w:r>
        <w:rPr>
          <w:rFonts w:ascii="Times New Roman" w:hAnsi="Times New Roman" w:cs="Times New Roman" w:hint="eastAsia"/>
        </w:rPr>
        <w:t>四半期には販売されたアパートの数が前年比で</w:t>
      </w:r>
      <w:r>
        <w:rPr>
          <w:rFonts w:ascii="Times New Roman" w:hAnsi="Times New Roman" w:cs="Times New Roman" w:hint="eastAsia"/>
        </w:rPr>
        <w:t>50</w:t>
      </w:r>
      <w:r>
        <w:rPr>
          <w:rFonts w:ascii="Times New Roman" w:hAnsi="Times New Roman" w:cs="Times New Roman" w:hint="eastAsia"/>
        </w:rPr>
        <w:t>％も減少した（</w:t>
      </w:r>
      <w:r>
        <w:rPr>
          <w:rFonts w:ascii="Times New Roman" w:hAnsi="Times New Roman" w:cs="Times New Roman" w:hint="eastAsia"/>
        </w:rPr>
        <w:t>CEE Quarterly, 02/2009</w:t>
      </w:r>
      <w:r>
        <w:rPr>
          <w:rFonts w:ascii="Times New Roman" w:hAnsi="Times New Roman" w:cs="Times New Roman" w:hint="eastAsia"/>
        </w:rPr>
        <w:t>）。いくつかの公共施設の建設</w:t>
      </w:r>
      <w:r>
        <w:rPr>
          <w:rStyle w:val="ae"/>
          <w:rFonts w:ascii="Times New Roman" w:hAnsi="Times New Roman" w:cs="Times New Roman"/>
        </w:rPr>
        <w:footnoteReference w:id="15"/>
      </w:r>
      <w:r>
        <w:rPr>
          <w:rFonts w:ascii="Times New Roman" w:hAnsi="Times New Roman" w:cs="Times New Roman" w:hint="eastAsia"/>
        </w:rPr>
        <w:t>はグローバル金融危機以前に完了していたが、政府や自治体は財政赤字削減のため計画されていた公共事業を縮小した。そのため、建設セクターにおける投資額は</w:t>
      </w:r>
      <w:r>
        <w:rPr>
          <w:rFonts w:ascii="Times New Roman" w:hAnsi="Times New Roman" w:cs="Times New Roman" w:hint="eastAsia"/>
        </w:rPr>
        <w:t>2011</w:t>
      </w:r>
      <w:r>
        <w:rPr>
          <w:rFonts w:ascii="Times New Roman" w:hAnsi="Times New Roman" w:cs="Times New Roman" w:hint="eastAsia"/>
        </w:rPr>
        <w:t>年においては危機以前のわずか</w:t>
      </w:r>
      <w:r>
        <w:rPr>
          <w:rFonts w:ascii="Times New Roman" w:hAnsi="Times New Roman" w:cs="Times New Roman" w:hint="eastAsia"/>
        </w:rPr>
        <w:t>50</w:t>
      </w:r>
      <w:r>
        <w:rPr>
          <w:rFonts w:ascii="Times New Roman" w:hAnsi="Times New Roman" w:cs="Times New Roman" w:hint="eastAsia"/>
        </w:rPr>
        <w:t>％へと低下した。こうして、建設業の産出高は劇的な落ち込みを記録し、きわめて多くの建設会社が破産に追い込まれた。</w:t>
      </w:r>
    </w:p>
    <w:p w:rsidR="009D0D95" w:rsidRPr="009D0D95" w:rsidRDefault="009D0D95" w:rsidP="00454BC9">
      <w:pPr>
        <w:ind w:left="210" w:hangingChars="100" w:hanging="210"/>
        <w:rPr>
          <w:rFonts w:ascii="Times New Roman" w:hAnsi="Times New Roman" w:cs="Times New Roman"/>
        </w:rPr>
      </w:pPr>
    </w:p>
    <w:p w:rsidR="008E2B95" w:rsidRPr="003D2124" w:rsidRDefault="008E2B95">
      <w:pPr>
        <w:rPr>
          <w:rFonts w:ascii="Times New Roman" w:hAnsi="Times New Roman" w:cs="Times New Roman"/>
        </w:rPr>
      </w:pPr>
      <w:r w:rsidRPr="003D2124">
        <w:rPr>
          <w:rFonts w:ascii="Times New Roman" w:hAnsi="Times New Roman" w:cs="Times New Roman"/>
          <w:b/>
          <w:bCs/>
        </w:rPr>
        <w:t>国際的な資金循環</w:t>
      </w:r>
    </w:p>
    <w:p w:rsidR="00CC7F9A" w:rsidRDefault="00314542" w:rsidP="00E17B77">
      <w:pPr>
        <w:rPr>
          <w:rFonts w:ascii="Times New Roman" w:hAnsi="Times New Roman" w:cs="Times New Roman"/>
        </w:rPr>
      </w:pPr>
      <w:r>
        <w:rPr>
          <w:rFonts w:ascii="Times New Roman" w:hAnsi="Times New Roman" w:cs="Times New Roman" w:hint="eastAsia"/>
        </w:rPr>
        <w:t xml:space="preserve">　経常収支赤字の対</w:t>
      </w:r>
      <w:r>
        <w:rPr>
          <w:rFonts w:ascii="Times New Roman" w:hAnsi="Times New Roman" w:cs="Times New Roman" w:hint="eastAsia"/>
        </w:rPr>
        <w:t>GDP</w:t>
      </w:r>
      <w:r>
        <w:rPr>
          <w:rFonts w:ascii="Times New Roman" w:hAnsi="Times New Roman" w:cs="Times New Roman" w:hint="eastAsia"/>
        </w:rPr>
        <w:t>比は</w:t>
      </w:r>
      <w:r>
        <w:rPr>
          <w:rFonts w:ascii="Times New Roman" w:hAnsi="Times New Roman" w:cs="Times New Roman" w:hint="eastAsia"/>
        </w:rPr>
        <w:t>2003</w:t>
      </w:r>
      <w:r>
        <w:rPr>
          <w:rFonts w:ascii="Times New Roman" w:hAnsi="Times New Roman" w:cs="Times New Roman" w:hint="eastAsia"/>
        </w:rPr>
        <w:t>年、</w:t>
      </w:r>
      <w:r>
        <w:rPr>
          <w:rFonts w:ascii="Times New Roman" w:hAnsi="Times New Roman" w:cs="Times New Roman" w:hint="eastAsia"/>
        </w:rPr>
        <w:t>2004</w:t>
      </w:r>
      <w:r>
        <w:rPr>
          <w:rFonts w:ascii="Times New Roman" w:hAnsi="Times New Roman" w:cs="Times New Roman" w:hint="eastAsia"/>
        </w:rPr>
        <w:t>年、</w:t>
      </w:r>
      <w:r>
        <w:rPr>
          <w:rFonts w:ascii="Times New Roman" w:hAnsi="Times New Roman" w:cs="Times New Roman" w:hint="eastAsia"/>
        </w:rPr>
        <w:t>2005</w:t>
      </w:r>
      <w:r>
        <w:rPr>
          <w:rFonts w:ascii="Times New Roman" w:hAnsi="Times New Roman" w:cs="Times New Roman" w:hint="eastAsia"/>
        </w:rPr>
        <w:t>年</w:t>
      </w:r>
      <w:r w:rsidR="002F17CF">
        <w:rPr>
          <w:rFonts w:ascii="Times New Roman" w:hAnsi="Times New Roman" w:cs="Times New Roman" w:hint="eastAsia"/>
        </w:rPr>
        <w:t>、</w:t>
      </w:r>
      <w:r w:rsidR="002F17CF">
        <w:rPr>
          <w:rFonts w:ascii="Times New Roman" w:hAnsi="Times New Roman" w:cs="Times New Roman" w:hint="eastAsia"/>
        </w:rPr>
        <w:t>2006</w:t>
      </w:r>
      <w:r w:rsidR="002F17CF">
        <w:rPr>
          <w:rFonts w:ascii="Times New Roman" w:hAnsi="Times New Roman" w:cs="Times New Roman" w:hint="eastAsia"/>
        </w:rPr>
        <w:t>年</w:t>
      </w:r>
      <w:r>
        <w:rPr>
          <w:rFonts w:ascii="Times New Roman" w:hAnsi="Times New Roman" w:cs="Times New Roman" w:hint="eastAsia"/>
        </w:rPr>
        <w:t>にはそれぞれ</w:t>
      </w:r>
      <w:r>
        <w:rPr>
          <w:rFonts w:ascii="Times New Roman" w:hAnsi="Times New Roman" w:cs="Times New Roman" w:hint="eastAsia"/>
        </w:rPr>
        <w:t>-0.8</w:t>
      </w:r>
      <w:r>
        <w:rPr>
          <w:rFonts w:ascii="Times New Roman" w:hAnsi="Times New Roman" w:cs="Times New Roman" w:hint="eastAsia"/>
        </w:rPr>
        <w:t>％、</w:t>
      </w:r>
      <w:r w:rsidR="002F17CF">
        <w:rPr>
          <w:rFonts w:ascii="Times New Roman" w:hAnsi="Times New Roman" w:cs="Times New Roman" w:hint="eastAsia"/>
        </w:rPr>
        <w:t>-2.6</w:t>
      </w:r>
      <w:r w:rsidR="002F17CF">
        <w:rPr>
          <w:rFonts w:ascii="Times New Roman" w:hAnsi="Times New Roman" w:cs="Times New Roman" w:hint="eastAsia"/>
        </w:rPr>
        <w:t>％、</w:t>
      </w:r>
      <w:r w:rsidR="002F17CF">
        <w:rPr>
          <w:rFonts w:ascii="Times New Roman" w:hAnsi="Times New Roman" w:cs="Times New Roman" w:hint="eastAsia"/>
        </w:rPr>
        <w:t>-1.7</w:t>
      </w:r>
      <w:r w:rsidR="002F17CF">
        <w:rPr>
          <w:rFonts w:ascii="Times New Roman" w:hAnsi="Times New Roman" w:cs="Times New Roman" w:hint="eastAsia"/>
        </w:rPr>
        <w:t>％、</w:t>
      </w:r>
      <w:r w:rsidR="002F17CF">
        <w:rPr>
          <w:rFonts w:ascii="Times New Roman" w:hAnsi="Times New Roman" w:cs="Times New Roman" w:hint="eastAsia"/>
        </w:rPr>
        <w:t>-2.5</w:t>
      </w:r>
      <w:r w:rsidR="002F17CF">
        <w:rPr>
          <w:rFonts w:ascii="Times New Roman" w:hAnsi="Times New Roman" w:cs="Times New Roman" w:hint="eastAsia"/>
        </w:rPr>
        <w:t>％であり、比較的小さかった。</w:t>
      </w:r>
      <w:r w:rsidR="008E2B95" w:rsidRPr="003D2124">
        <w:rPr>
          <w:rFonts w:ascii="Times New Roman" w:hAnsi="Times New Roman" w:cs="Times New Roman"/>
        </w:rPr>
        <w:t>経常収支赤字は</w:t>
      </w:r>
      <w:r w:rsidR="002F17CF">
        <w:rPr>
          <w:rFonts w:ascii="Times New Roman" w:hAnsi="Times New Roman" w:cs="Times New Roman" w:hint="eastAsia"/>
        </w:rPr>
        <w:t>2007</w:t>
      </w:r>
      <w:r w:rsidR="002F17CF">
        <w:rPr>
          <w:rFonts w:ascii="Times New Roman" w:hAnsi="Times New Roman" w:cs="Times New Roman" w:hint="eastAsia"/>
        </w:rPr>
        <w:t>年に</w:t>
      </w:r>
      <w:r w:rsidR="002F17CF">
        <w:rPr>
          <w:rFonts w:ascii="Times New Roman" w:hAnsi="Times New Roman" w:cs="Times New Roman" w:hint="eastAsia"/>
        </w:rPr>
        <w:t>-4.8</w:t>
      </w:r>
      <w:r w:rsidR="002F17CF">
        <w:rPr>
          <w:rFonts w:ascii="Times New Roman" w:hAnsi="Times New Roman" w:cs="Times New Roman" w:hint="eastAsia"/>
        </w:rPr>
        <w:t>％、</w:t>
      </w:r>
      <w:r w:rsidR="002F17CF">
        <w:rPr>
          <w:rFonts w:ascii="Times New Roman" w:hAnsi="Times New Roman" w:cs="Times New Roman" w:hint="eastAsia"/>
        </w:rPr>
        <w:t>2008</w:t>
      </w:r>
      <w:r w:rsidR="002F17CF">
        <w:rPr>
          <w:rFonts w:ascii="Times New Roman" w:hAnsi="Times New Roman" w:cs="Times New Roman" w:hint="eastAsia"/>
        </w:rPr>
        <w:t>年に</w:t>
      </w:r>
      <w:r w:rsidR="002F17CF">
        <w:rPr>
          <w:rFonts w:ascii="Times New Roman" w:hAnsi="Times New Roman" w:cs="Times New Roman" w:hint="eastAsia"/>
        </w:rPr>
        <w:t>-6.2</w:t>
      </w:r>
      <w:r w:rsidR="002F17CF">
        <w:rPr>
          <w:rFonts w:ascii="Times New Roman" w:hAnsi="Times New Roman" w:cs="Times New Roman" w:hint="eastAsia"/>
        </w:rPr>
        <w:t>％と拡大した。この間の財政赤字は比較的小さかった。</w:t>
      </w:r>
      <w:r w:rsidR="002F17CF">
        <w:rPr>
          <w:rFonts w:ascii="Times New Roman" w:hAnsi="Times New Roman" w:cs="Times New Roman" w:hint="eastAsia"/>
        </w:rPr>
        <w:t>2003</w:t>
      </w:r>
      <w:r w:rsidR="002F17CF">
        <w:rPr>
          <w:rFonts w:ascii="Times New Roman" w:hAnsi="Times New Roman" w:cs="Times New Roman" w:hint="eastAsia"/>
        </w:rPr>
        <w:t>年から</w:t>
      </w:r>
      <w:r w:rsidR="002F17CF">
        <w:rPr>
          <w:rFonts w:ascii="Times New Roman" w:hAnsi="Times New Roman" w:cs="Times New Roman" w:hint="eastAsia"/>
        </w:rPr>
        <w:t>2006</w:t>
      </w:r>
      <w:r w:rsidR="002F17CF">
        <w:rPr>
          <w:rFonts w:ascii="Times New Roman" w:hAnsi="Times New Roman" w:cs="Times New Roman" w:hint="eastAsia"/>
        </w:rPr>
        <w:t>年にかけて財政赤字</w:t>
      </w:r>
      <w:r w:rsidR="00CC7F9A">
        <w:rPr>
          <w:rFonts w:ascii="Times New Roman" w:hAnsi="Times New Roman" w:cs="Times New Roman" w:hint="eastAsia"/>
        </w:rPr>
        <w:t>の対</w:t>
      </w:r>
      <w:r w:rsidR="00CC7F9A">
        <w:rPr>
          <w:rFonts w:ascii="Times New Roman" w:hAnsi="Times New Roman" w:cs="Times New Roman" w:hint="eastAsia"/>
        </w:rPr>
        <w:t>GDP</w:t>
      </w:r>
      <w:r w:rsidR="00CC7F9A">
        <w:rPr>
          <w:rFonts w:ascii="Times New Roman" w:hAnsi="Times New Roman" w:cs="Times New Roman" w:hint="eastAsia"/>
        </w:rPr>
        <w:t>比は</w:t>
      </w:r>
      <w:r w:rsidR="00CC7F9A">
        <w:rPr>
          <w:rFonts w:ascii="Times New Roman" w:hAnsi="Times New Roman" w:cs="Times New Roman" w:hint="eastAsia"/>
        </w:rPr>
        <w:t>1</w:t>
      </w:r>
      <w:r w:rsidR="00CC7F9A">
        <w:rPr>
          <w:rFonts w:ascii="Times New Roman" w:hAnsi="Times New Roman" w:cs="Times New Roman" w:hint="eastAsia"/>
        </w:rPr>
        <w:t>％台であり、</w:t>
      </w:r>
      <w:r w:rsidR="00CC7F9A">
        <w:rPr>
          <w:rFonts w:ascii="Times New Roman" w:hAnsi="Times New Roman" w:cs="Times New Roman" w:hint="eastAsia"/>
        </w:rPr>
        <w:t>2007</w:t>
      </w:r>
      <w:r w:rsidR="00CC7F9A">
        <w:rPr>
          <w:rFonts w:ascii="Times New Roman" w:hAnsi="Times New Roman" w:cs="Times New Roman" w:hint="eastAsia"/>
        </w:rPr>
        <w:t>年には</w:t>
      </w:r>
      <w:r w:rsidR="00CC7F9A">
        <w:rPr>
          <w:rFonts w:ascii="Times New Roman" w:hAnsi="Times New Roman" w:cs="Times New Roman" w:hint="eastAsia"/>
        </w:rPr>
        <w:t>0.5</w:t>
      </w:r>
      <w:r w:rsidR="00CC7F9A">
        <w:rPr>
          <w:rFonts w:ascii="Times New Roman" w:hAnsi="Times New Roman" w:cs="Times New Roman" w:hint="eastAsia"/>
        </w:rPr>
        <w:t>％の黒字を記録した。</w:t>
      </w:r>
      <w:r w:rsidR="00CC7F9A">
        <w:rPr>
          <w:rFonts w:ascii="Times New Roman" w:hAnsi="Times New Roman" w:cs="Times New Roman" w:hint="eastAsia"/>
        </w:rPr>
        <w:t>2008</w:t>
      </w:r>
      <w:r w:rsidR="00CC7F9A">
        <w:rPr>
          <w:rFonts w:ascii="Times New Roman" w:hAnsi="Times New Roman" w:cs="Times New Roman" w:hint="eastAsia"/>
        </w:rPr>
        <w:t>年には財政収支は</w:t>
      </w:r>
    </w:p>
    <w:tbl>
      <w:tblPr>
        <w:tblW w:w="8954" w:type="dxa"/>
        <w:tblInd w:w="84" w:type="dxa"/>
        <w:tblCellMar>
          <w:left w:w="99" w:type="dxa"/>
          <w:right w:w="99" w:type="dxa"/>
        </w:tblCellMar>
        <w:tblLook w:val="04A0" w:firstRow="1" w:lastRow="0" w:firstColumn="1" w:lastColumn="0" w:noHBand="0" w:noVBand="1"/>
      </w:tblPr>
      <w:tblGrid>
        <w:gridCol w:w="2709"/>
        <w:gridCol w:w="888"/>
        <w:gridCol w:w="888"/>
        <w:gridCol w:w="917"/>
        <w:gridCol w:w="888"/>
        <w:gridCol w:w="888"/>
        <w:gridCol w:w="888"/>
        <w:gridCol w:w="888"/>
      </w:tblGrid>
      <w:tr w:rsidR="003311E3" w:rsidRPr="003D2124" w:rsidTr="0073089D">
        <w:trPr>
          <w:trHeight w:val="375"/>
        </w:trPr>
        <w:tc>
          <w:tcPr>
            <w:tcW w:w="8954" w:type="dxa"/>
            <w:gridSpan w:val="8"/>
            <w:tcBorders>
              <w:top w:val="nil"/>
              <w:left w:val="nil"/>
              <w:bottom w:val="single" w:sz="8" w:space="0" w:color="auto"/>
              <w:right w:val="nil"/>
            </w:tcBorders>
            <w:shd w:val="clear" w:color="auto" w:fill="auto"/>
            <w:noWrap/>
            <w:vAlign w:val="center"/>
            <w:hideMark/>
          </w:tcPr>
          <w:p w:rsidR="003311E3" w:rsidRPr="005B5C82" w:rsidRDefault="002F17CF" w:rsidP="00FC7D1B">
            <w:pPr>
              <w:widowControl/>
              <w:spacing w:after="0"/>
              <w:jc w:val="center"/>
              <w:rPr>
                <w:rFonts w:asciiTheme="minorEastAsia" w:hAnsiTheme="minorEastAsia" w:cs="Times New Roman"/>
                <w:b/>
                <w:bCs/>
                <w:color w:val="000000"/>
                <w:kern w:val="0"/>
                <w:sz w:val="22"/>
              </w:rPr>
            </w:pPr>
            <w:r>
              <w:rPr>
                <w:rFonts w:ascii="Times New Roman" w:hAnsi="Times New Roman" w:cs="Times New Roman" w:hint="eastAsia"/>
              </w:rPr>
              <w:lastRenderedPageBreak/>
              <w:t xml:space="preserve">　</w:t>
            </w:r>
            <w:r w:rsidR="00FC7D1B" w:rsidRPr="005B5C82">
              <w:rPr>
                <w:rFonts w:asciiTheme="minorEastAsia" w:hAnsiTheme="minorEastAsia" w:cs="Times New Roman" w:hint="eastAsia"/>
                <w:b/>
                <w:bCs/>
                <w:color w:val="000000"/>
                <w:kern w:val="0"/>
                <w:sz w:val="22"/>
              </w:rPr>
              <w:t>表</w:t>
            </w:r>
            <w:r w:rsidR="0073089D">
              <w:rPr>
                <w:rFonts w:asciiTheme="minorEastAsia" w:hAnsiTheme="minorEastAsia" w:cs="Times New Roman" w:hint="eastAsia"/>
                <w:b/>
                <w:bCs/>
                <w:color w:val="000000"/>
                <w:kern w:val="0"/>
                <w:sz w:val="22"/>
              </w:rPr>
              <w:t>3</w:t>
            </w:r>
            <w:r w:rsidR="003311E3" w:rsidRPr="005B5C82">
              <w:rPr>
                <w:rFonts w:asciiTheme="minorEastAsia" w:hAnsiTheme="minorEastAsia" w:cs="Times New Roman"/>
                <w:b/>
                <w:bCs/>
                <w:color w:val="000000"/>
                <w:kern w:val="0"/>
                <w:sz w:val="22"/>
              </w:rPr>
              <w:t xml:space="preserve">  </w:t>
            </w:r>
            <w:r w:rsidR="00FC7D1B" w:rsidRPr="005B5C82">
              <w:rPr>
                <w:rFonts w:asciiTheme="minorEastAsia" w:hAnsiTheme="minorEastAsia" w:cs="Times New Roman" w:hint="eastAsia"/>
                <w:b/>
                <w:bCs/>
                <w:color w:val="000000"/>
                <w:kern w:val="0"/>
                <w:sz w:val="22"/>
              </w:rPr>
              <w:t>スロヴェニアの国際収支表</w:t>
            </w:r>
            <w:r w:rsidR="003311E3" w:rsidRPr="005B5C82">
              <w:rPr>
                <w:rFonts w:asciiTheme="minorEastAsia" w:hAnsiTheme="minorEastAsia" w:cs="Times New Roman"/>
                <w:b/>
                <w:bCs/>
                <w:color w:val="000000"/>
                <w:kern w:val="0"/>
                <w:sz w:val="22"/>
              </w:rPr>
              <w:t xml:space="preserve"> (</w:t>
            </w:r>
            <w:r w:rsidR="00FC7D1B" w:rsidRPr="005B5C82">
              <w:rPr>
                <w:rFonts w:asciiTheme="minorEastAsia" w:hAnsiTheme="minorEastAsia" w:cs="Times New Roman" w:hint="eastAsia"/>
                <w:b/>
                <w:bCs/>
                <w:color w:val="000000"/>
                <w:kern w:val="0"/>
                <w:sz w:val="22"/>
              </w:rPr>
              <w:t>100万ユーロ</w:t>
            </w:r>
            <w:r w:rsidR="003311E3" w:rsidRPr="005B5C82">
              <w:rPr>
                <w:rFonts w:asciiTheme="minorEastAsia" w:hAnsiTheme="minorEastAsia" w:cs="Times New Roman"/>
                <w:b/>
                <w:bCs/>
                <w:color w:val="000000"/>
                <w:kern w:val="0"/>
                <w:sz w:val="22"/>
              </w:rPr>
              <w:t>)</w:t>
            </w:r>
          </w:p>
        </w:tc>
      </w:tr>
      <w:tr w:rsidR="003311E3" w:rsidRPr="003D2124" w:rsidTr="0073089D">
        <w:trPr>
          <w:trHeight w:val="285"/>
        </w:trPr>
        <w:tc>
          <w:tcPr>
            <w:tcW w:w="2709" w:type="dxa"/>
            <w:tcBorders>
              <w:top w:val="nil"/>
              <w:left w:val="nil"/>
              <w:bottom w:val="single" w:sz="8" w:space="0" w:color="auto"/>
              <w:right w:val="single" w:sz="4" w:space="0" w:color="auto"/>
            </w:tcBorders>
            <w:shd w:val="clear" w:color="auto" w:fill="auto"/>
            <w:noWrap/>
            <w:vAlign w:val="center"/>
            <w:hideMark/>
          </w:tcPr>
          <w:p w:rsidR="003311E3" w:rsidRPr="003D2124" w:rsidRDefault="003311E3" w:rsidP="003311E3">
            <w:pPr>
              <w:widowControl/>
              <w:spacing w:after="0"/>
              <w:jc w:val="left"/>
              <w:rPr>
                <w:rFonts w:ascii="Times New Roman" w:eastAsia="ＭＳ Ｐゴシック" w:hAnsi="Times New Roman" w:cs="Times New Roman"/>
                <w:color w:val="000000"/>
                <w:kern w:val="0"/>
                <w:sz w:val="20"/>
                <w:szCs w:val="20"/>
              </w:rPr>
            </w:pPr>
            <w:r w:rsidRPr="003D2124">
              <w:rPr>
                <w:rFonts w:ascii="Times New Roman" w:eastAsia="ＭＳ Ｐゴシック" w:hAnsi="Times New Roman" w:cs="Times New Roman"/>
                <w:color w:val="000000"/>
                <w:kern w:val="0"/>
                <w:sz w:val="20"/>
                <w:szCs w:val="20"/>
              </w:rPr>
              <w:t xml:space="preserve">　</w:t>
            </w:r>
          </w:p>
        </w:tc>
        <w:tc>
          <w:tcPr>
            <w:tcW w:w="888" w:type="dxa"/>
            <w:tcBorders>
              <w:top w:val="nil"/>
              <w:left w:val="nil"/>
              <w:bottom w:val="single" w:sz="8" w:space="0" w:color="auto"/>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2003</w:t>
            </w:r>
          </w:p>
        </w:tc>
        <w:tc>
          <w:tcPr>
            <w:tcW w:w="888" w:type="dxa"/>
            <w:tcBorders>
              <w:top w:val="nil"/>
              <w:left w:val="nil"/>
              <w:bottom w:val="single" w:sz="8" w:space="0" w:color="auto"/>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2004</w:t>
            </w:r>
          </w:p>
        </w:tc>
        <w:tc>
          <w:tcPr>
            <w:tcW w:w="917" w:type="dxa"/>
            <w:tcBorders>
              <w:top w:val="nil"/>
              <w:left w:val="nil"/>
              <w:bottom w:val="single" w:sz="8" w:space="0" w:color="auto"/>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2005</w:t>
            </w:r>
          </w:p>
        </w:tc>
        <w:tc>
          <w:tcPr>
            <w:tcW w:w="888" w:type="dxa"/>
            <w:tcBorders>
              <w:top w:val="nil"/>
              <w:left w:val="nil"/>
              <w:bottom w:val="single" w:sz="8" w:space="0" w:color="auto"/>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2006</w:t>
            </w:r>
          </w:p>
        </w:tc>
        <w:tc>
          <w:tcPr>
            <w:tcW w:w="888" w:type="dxa"/>
            <w:tcBorders>
              <w:top w:val="nil"/>
              <w:left w:val="nil"/>
              <w:bottom w:val="single" w:sz="8" w:space="0" w:color="auto"/>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2007</w:t>
            </w:r>
          </w:p>
        </w:tc>
        <w:tc>
          <w:tcPr>
            <w:tcW w:w="888" w:type="dxa"/>
            <w:tcBorders>
              <w:top w:val="nil"/>
              <w:left w:val="nil"/>
              <w:bottom w:val="single" w:sz="8" w:space="0" w:color="auto"/>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2008</w:t>
            </w:r>
          </w:p>
        </w:tc>
        <w:tc>
          <w:tcPr>
            <w:tcW w:w="888" w:type="dxa"/>
            <w:tcBorders>
              <w:top w:val="nil"/>
              <w:left w:val="nil"/>
              <w:bottom w:val="single" w:sz="8" w:space="0" w:color="auto"/>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2009</w:t>
            </w:r>
          </w:p>
        </w:tc>
      </w:tr>
      <w:tr w:rsidR="003311E3" w:rsidRPr="003D2124" w:rsidTr="0073089D">
        <w:trPr>
          <w:trHeight w:val="270"/>
        </w:trPr>
        <w:tc>
          <w:tcPr>
            <w:tcW w:w="2709" w:type="dxa"/>
            <w:tcBorders>
              <w:top w:val="nil"/>
              <w:left w:val="nil"/>
              <w:bottom w:val="nil"/>
              <w:right w:val="single" w:sz="4" w:space="0" w:color="auto"/>
            </w:tcBorders>
            <w:shd w:val="clear" w:color="auto" w:fill="auto"/>
            <w:noWrap/>
            <w:vAlign w:val="center"/>
          </w:tcPr>
          <w:p w:rsidR="003311E3" w:rsidRPr="003D2124" w:rsidRDefault="00664CEA" w:rsidP="003311E3">
            <w:pPr>
              <w:widowControl/>
              <w:spacing w:after="0"/>
              <w:jc w:val="left"/>
              <w:rPr>
                <w:rFonts w:ascii="Times New Roman" w:eastAsia="ＭＳ Ｐゴシック" w:hAnsi="Times New Roman" w:cs="Times New Roman"/>
                <w:color w:val="000000"/>
                <w:kern w:val="0"/>
                <w:sz w:val="18"/>
                <w:szCs w:val="18"/>
              </w:rPr>
            </w:pPr>
            <w:r>
              <w:rPr>
                <w:rFonts w:ascii="Times New Roman" w:eastAsia="ＭＳ Ｐゴシック" w:hAnsi="Times New Roman" w:cs="Times New Roman" w:hint="eastAsia"/>
                <w:color w:val="000000"/>
                <w:kern w:val="0"/>
                <w:sz w:val="18"/>
                <w:szCs w:val="18"/>
              </w:rPr>
              <w:t>経常収支</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-195.7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-719.7 </w:t>
            </w:r>
          </w:p>
        </w:tc>
        <w:tc>
          <w:tcPr>
            <w:tcW w:w="917"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-497.6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-771.0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-1,646.2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-2,294.9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-246.1 </w:t>
            </w:r>
          </w:p>
        </w:tc>
      </w:tr>
      <w:tr w:rsidR="003311E3" w:rsidRPr="003D2124" w:rsidTr="0073089D">
        <w:trPr>
          <w:trHeight w:val="270"/>
        </w:trPr>
        <w:tc>
          <w:tcPr>
            <w:tcW w:w="2709" w:type="dxa"/>
            <w:tcBorders>
              <w:top w:val="nil"/>
              <w:left w:val="nil"/>
              <w:bottom w:val="nil"/>
              <w:right w:val="single" w:sz="4" w:space="0" w:color="auto"/>
            </w:tcBorders>
            <w:shd w:val="clear" w:color="auto" w:fill="auto"/>
            <w:noWrap/>
            <w:vAlign w:val="center"/>
          </w:tcPr>
          <w:p w:rsidR="003311E3" w:rsidRPr="003D2124" w:rsidRDefault="00664CEA" w:rsidP="00664CEA">
            <w:pPr>
              <w:widowControl/>
              <w:spacing w:after="0"/>
              <w:ind w:firstLineChars="100" w:firstLine="180"/>
              <w:jc w:val="left"/>
              <w:rPr>
                <w:rFonts w:ascii="Times New Roman" w:eastAsia="ＭＳ Ｐゴシック" w:hAnsi="Times New Roman" w:cs="Times New Roman"/>
                <w:color w:val="000000"/>
                <w:kern w:val="0"/>
                <w:sz w:val="18"/>
                <w:szCs w:val="18"/>
              </w:rPr>
            </w:pPr>
            <w:r>
              <w:rPr>
                <w:rFonts w:ascii="Times New Roman" w:eastAsia="ＭＳ Ｐゴシック" w:hAnsi="Times New Roman" w:cs="Times New Roman" w:hint="eastAsia"/>
                <w:color w:val="000000"/>
                <w:kern w:val="0"/>
                <w:sz w:val="18"/>
                <w:szCs w:val="18"/>
              </w:rPr>
              <w:t>財の貿易収支</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-542.8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-1,008.8 </w:t>
            </w:r>
          </w:p>
        </w:tc>
        <w:tc>
          <w:tcPr>
            <w:tcW w:w="917"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-1,025.8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-1,151.0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-1,665.9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-2,385.4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-497.9 </w:t>
            </w:r>
          </w:p>
        </w:tc>
      </w:tr>
      <w:tr w:rsidR="003311E3" w:rsidRPr="003D2124" w:rsidTr="0073089D">
        <w:trPr>
          <w:trHeight w:val="270"/>
        </w:trPr>
        <w:tc>
          <w:tcPr>
            <w:tcW w:w="2709" w:type="dxa"/>
            <w:tcBorders>
              <w:top w:val="nil"/>
              <w:left w:val="nil"/>
              <w:bottom w:val="nil"/>
              <w:right w:val="single" w:sz="4" w:space="0" w:color="auto"/>
            </w:tcBorders>
            <w:shd w:val="clear" w:color="auto" w:fill="auto"/>
            <w:noWrap/>
            <w:vAlign w:val="center"/>
          </w:tcPr>
          <w:p w:rsidR="003311E3" w:rsidRPr="003D2124" w:rsidRDefault="00664CEA" w:rsidP="003311E3">
            <w:pPr>
              <w:widowControl/>
              <w:spacing w:after="0"/>
              <w:jc w:val="left"/>
              <w:rPr>
                <w:rFonts w:ascii="Times New Roman" w:eastAsia="ＭＳ Ｐゴシック" w:hAnsi="Times New Roman" w:cs="Times New Roman"/>
                <w:color w:val="000000"/>
                <w:kern w:val="0"/>
                <w:sz w:val="18"/>
                <w:szCs w:val="18"/>
              </w:rPr>
            </w:pPr>
            <w:r>
              <w:rPr>
                <w:rFonts w:ascii="Times New Roman" w:eastAsia="ＭＳ Ｐゴシック" w:hAnsi="Times New Roman" w:cs="Times New Roman" w:hint="eastAsia"/>
                <w:color w:val="000000"/>
                <w:kern w:val="0"/>
                <w:sz w:val="18"/>
                <w:szCs w:val="18"/>
              </w:rPr>
              <w:t xml:space="preserve">　　　</w:t>
            </w:r>
            <w:r w:rsidR="00006C84">
              <w:rPr>
                <w:rFonts w:ascii="Times New Roman" w:eastAsia="ＭＳ Ｐゴシック" w:hAnsi="Times New Roman" w:cs="Times New Roman" w:hint="eastAsia"/>
                <w:color w:val="000000"/>
                <w:kern w:val="0"/>
                <w:sz w:val="18"/>
                <w:szCs w:val="18"/>
              </w:rPr>
              <w:t xml:space="preserve">　</w:t>
            </w:r>
            <w:r>
              <w:rPr>
                <w:rFonts w:ascii="Times New Roman" w:eastAsia="ＭＳ Ｐゴシック" w:hAnsi="Times New Roman" w:cs="Times New Roman" w:hint="eastAsia"/>
                <w:color w:val="000000"/>
                <w:kern w:val="0"/>
                <w:sz w:val="18"/>
                <w:szCs w:val="18"/>
              </w:rPr>
              <w:t>輸出</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11,417.1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12,932.8 </w:t>
            </w:r>
          </w:p>
        </w:tc>
        <w:tc>
          <w:tcPr>
            <w:tcW w:w="917"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14,599.2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17,028.3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19,798.5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20,295.0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16,410.4 </w:t>
            </w:r>
          </w:p>
        </w:tc>
      </w:tr>
      <w:tr w:rsidR="003311E3" w:rsidRPr="003D2124" w:rsidTr="0073089D">
        <w:trPr>
          <w:trHeight w:val="270"/>
        </w:trPr>
        <w:tc>
          <w:tcPr>
            <w:tcW w:w="2709" w:type="dxa"/>
            <w:tcBorders>
              <w:top w:val="nil"/>
              <w:left w:val="nil"/>
              <w:bottom w:val="nil"/>
              <w:right w:val="single" w:sz="4" w:space="0" w:color="auto"/>
            </w:tcBorders>
            <w:shd w:val="clear" w:color="auto" w:fill="auto"/>
            <w:noWrap/>
            <w:vAlign w:val="center"/>
          </w:tcPr>
          <w:p w:rsidR="003311E3" w:rsidRPr="003D2124" w:rsidRDefault="00664CEA" w:rsidP="003311E3">
            <w:pPr>
              <w:widowControl/>
              <w:spacing w:after="0"/>
              <w:jc w:val="left"/>
              <w:rPr>
                <w:rFonts w:ascii="Times New Roman" w:eastAsia="ＭＳ Ｐゴシック" w:hAnsi="Times New Roman" w:cs="Times New Roman"/>
                <w:color w:val="000000"/>
                <w:kern w:val="0"/>
                <w:sz w:val="18"/>
                <w:szCs w:val="18"/>
              </w:rPr>
            </w:pPr>
            <w:r>
              <w:rPr>
                <w:rFonts w:ascii="Times New Roman" w:eastAsia="ＭＳ Ｐゴシック" w:hAnsi="Times New Roman" w:cs="Times New Roman" w:hint="eastAsia"/>
                <w:color w:val="000000"/>
                <w:kern w:val="0"/>
                <w:sz w:val="18"/>
                <w:szCs w:val="18"/>
              </w:rPr>
              <w:t xml:space="preserve">　　　</w:t>
            </w:r>
            <w:r w:rsidR="00006C84">
              <w:rPr>
                <w:rFonts w:ascii="Times New Roman" w:eastAsia="ＭＳ Ｐゴシック" w:hAnsi="Times New Roman" w:cs="Times New Roman" w:hint="eastAsia"/>
                <w:color w:val="000000"/>
                <w:kern w:val="0"/>
                <w:sz w:val="18"/>
                <w:szCs w:val="18"/>
              </w:rPr>
              <w:t xml:space="preserve">　</w:t>
            </w:r>
            <w:r>
              <w:rPr>
                <w:rFonts w:ascii="Times New Roman" w:eastAsia="ＭＳ Ｐゴシック" w:hAnsi="Times New Roman" w:cs="Times New Roman" w:hint="eastAsia"/>
                <w:color w:val="000000"/>
                <w:kern w:val="0"/>
                <w:sz w:val="18"/>
                <w:szCs w:val="18"/>
              </w:rPr>
              <w:t>輸入</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-11,959.9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-13,941.6 </w:t>
            </w:r>
          </w:p>
        </w:tc>
        <w:tc>
          <w:tcPr>
            <w:tcW w:w="917"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-15,625.0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-18,179.3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-21,464.4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-22,680.4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-16,908.3 </w:t>
            </w:r>
          </w:p>
        </w:tc>
      </w:tr>
      <w:tr w:rsidR="003311E3" w:rsidRPr="003D2124" w:rsidTr="0073089D">
        <w:trPr>
          <w:trHeight w:val="270"/>
        </w:trPr>
        <w:tc>
          <w:tcPr>
            <w:tcW w:w="2709" w:type="dxa"/>
            <w:tcBorders>
              <w:top w:val="nil"/>
              <w:left w:val="nil"/>
              <w:bottom w:val="nil"/>
              <w:right w:val="single" w:sz="4" w:space="0" w:color="auto"/>
            </w:tcBorders>
            <w:shd w:val="clear" w:color="auto" w:fill="auto"/>
            <w:noWrap/>
            <w:vAlign w:val="center"/>
          </w:tcPr>
          <w:p w:rsidR="003311E3" w:rsidRPr="003D2124" w:rsidRDefault="00664CEA" w:rsidP="00664CEA">
            <w:pPr>
              <w:widowControl/>
              <w:spacing w:after="0"/>
              <w:jc w:val="left"/>
              <w:rPr>
                <w:rFonts w:ascii="Times New Roman" w:eastAsia="ＭＳ Ｐゴシック" w:hAnsi="Times New Roman" w:cs="Times New Roman"/>
                <w:color w:val="000000"/>
                <w:kern w:val="0"/>
                <w:sz w:val="18"/>
                <w:szCs w:val="18"/>
              </w:rPr>
            </w:pPr>
            <w:r>
              <w:rPr>
                <w:rFonts w:ascii="Times New Roman" w:eastAsia="ＭＳ Ｐゴシック" w:hAnsi="Times New Roman" w:cs="Times New Roman" w:hint="eastAsia"/>
                <w:color w:val="000000"/>
                <w:kern w:val="0"/>
                <w:sz w:val="18"/>
                <w:szCs w:val="18"/>
              </w:rPr>
              <w:t xml:space="preserve">　サービス貿易収支</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540.2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687.6 </w:t>
            </w:r>
          </w:p>
        </w:tc>
        <w:tc>
          <w:tcPr>
            <w:tcW w:w="917"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920.0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992.7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1,047.0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1,423.7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1,165.1 </w:t>
            </w:r>
          </w:p>
        </w:tc>
      </w:tr>
      <w:tr w:rsidR="003311E3" w:rsidRPr="003D2124" w:rsidTr="0073089D">
        <w:trPr>
          <w:trHeight w:val="270"/>
        </w:trPr>
        <w:tc>
          <w:tcPr>
            <w:tcW w:w="2709" w:type="dxa"/>
            <w:tcBorders>
              <w:top w:val="nil"/>
              <w:left w:val="nil"/>
              <w:bottom w:val="nil"/>
              <w:right w:val="single" w:sz="4" w:space="0" w:color="auto"/>
            </w:tcBorders>
            <w:shd w:val="clear" w:color="auto" w:fill="auto"/>
            <w:noWrap/>
            <w:vAlign w:val="center"/>
          </w:tcPr>
          <w:p w:rsidR="003311E3" w:rsidRPr="003D2124" w:rsidRDefault="00664CEA" w:rsidP="003311E3">
            <w:pPr>
              <w:widowControl/>
              <w:spacing w:after="0"/>
              <w:jc w:val="left"/>
              <w:rPr>
                <w:rFonts w:ascii="Times New Roman" w:eastAsia="ＭＳ Ｐゴシック" w:hAnsi="Times New Roman" w:cs="Times New Roman"/>
                <w:color w:val="000000"/>
                <w:kern w:val="0"/>
                <w:sz w:val="18"/>
                <w:szCs w:val="18"/>
              </w:rPr>
            </w:pPr>
            <w:r>
              <w:rPr>
                <w:rFonts w:ascii="Times New Roman" w:eastAsia="ＭＳ Ｐゴシック" w:hAnsi="Times New Roman" w:cs="Times New Roman" w:hint="eastAsia"/>
                <w:color w:val="000000"/>
                <w:kern w:val="0"/>
                <w:sz w:val="18"/>
                <w:szCs w:val="18"/>
              </w:rPr>
              <w:t xml:space="preserve">　　　</w:t>
            </w:r>
            <w:r w:rsidR="00006C84">
              <w:rPr>
                <w:rFonts w:ascii="Times New Roman" w:eastAsia="ＭＳ Ｐゴシック" w:hAnsi="Times New Roman" w:cs="Times New Roman" w:hint="eastAsia"/>
                <w:color w:val="000000"/>
                <w:kern w:val="0"/>
                <w:sz w:val="18"/>
                <w:szCs w:val="18"/>
              </w:rPr>
              <w:t xml:space="preserve">　</w:t>
            </w:r>
            <w:r>
              <w:rPr>
                <w:rFonts w:ascii="Times New Roman" w:eastAsia="ＭＳ Ｐゴシック" w:hAnsi="Times New Roman" w:cs="Times New Roman" w:hint="eastAsia"/>
                <w:color w:val="000000"/>
                <w:kern w:val="0"/>
                <w:sz w:val="18"/>
                <w:szCs w:val="18"/>
              </w:rPr>
              <w:t>輸出</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2,464.9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2,782.6 </w:t>
            </w:r>
          </w:p>
        </w:tc>
        <w:tc>
          <w:tcPr>
            <w:tcW w:w="917"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3,213.5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3,572.4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4,145.2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4,956.5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4,347.0 </w:t>
            </w:r>
          </w:p>
        </w:tc>
      </w:tr>
      <w:tr w:rsidR="003311E3" w:rsidRPr="003D2124" w:rsidTr="0073089D">
        <w:trPr>
          <w:trHeight w:val="270"/>
        </w:trPr>
        <w:tc>
          <w:tcPr>
            <w:tcW w:w="2709" w:type="dxa"/>
            <w:tcBorders>
              <w:top w:val="nil"/>
              <w:left w:val="nil"/>
              <w:bottom w:val="nil"/>
              <w:right w:val="single" w:sz="4" w:space="0" w:color="auto"/>
            </w:tcBorders>
            <w:shd w:val="clear" w:color="auto" w:fill="auto"/>
            <w:noWrap/>
            <w:vAlign w:val="center"/>
          </w:tcPr>
          <w:p w:rsidR="003311E3" w:rsidRPr="003D2124" w:rsidRDefault="00664CEA" w:rsidP="003311E3">
            <w:pPr>
              <w:widowControl/>
              <w:spacing w:after="0"/>
              <w:jc w:val="left"/>
              <w:rPr>
                <w:rFonts w:ascii="Times New Roman" w:eastAsia="ＭＳ Ｐゴシック" w:hAnsi="Times New Roman" w:cs="Times New Roman"/>
                <w:color w:val="000000"/>
                <w:kern w:val="0"/>
                <w:sz w:val="18"/>
                <w:szCs w:val="18"/>
              </w:rPr>
            </w:pPr>
            <w:r>
              <w:rPr>
                <w:rFonts w:ascii="Times New Roman" w:eastAsia="ＭＳ Ｐゴシック" w:hAnsi="Times New Roman" w:cs="Times New Roman" w:hint="eastAsia"/>
                <w:color w:val="000000"/>
                <w:kern w:val="0"/>
                <w:sz w:val="18"/>
                <w:szCs w:val="18"/>
              </w:rPr>
              <w:t xml:space="preserve">　　　</w:t>
            </w:r>
            <w:r w:rsidR="00006C84">
              <w:rPr>
                <w:rFonts w:ascii="Times New Roman" w:eastAsia="ＭＳ Ｐゴシック" w:hAnsi="Times New Roman" w:cs="Times New Roman" w:hint="eastAsia"/>
                <w:color w:val="000000"/>
                <w:kern w:val="0"/>
                <w:sz w:val="18"/>
                <w:szCs w:val="18"/>
              </w:rPr>
              <w:t xml:space="preserve">　</w:t>
            </w:r>
            <w:r>
              <w:rPr>
                <w:rFonts w:ascii="Times New Roman" w:eastAsia="ＭＳ Ｐゴシック" w:hAnsi="Times New Roman" w:cs="Times New Roman" w:hint="eastAsia"/>
                <w:color w:val="000000"/>
                <w:kern w:val="0"/>
                <w:sz w:val="18"/>
                <w:szCs w:val="18"/>
              </w:rPr>
              <w:t>輸入</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-1,924.7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-2,095.0 </w:t>
            </w:r>
          </w:p>
        </w:tc>
        <w:tc>
          <w:tcPr>
            <w:tcW w:w="917"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-2,293.5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-2,579.7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-3,097.9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-3,532.8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-3,181.9 </w:t>
            </w:r>
          </w:p>
        </w:tc>
      </w:tr>
      <w:tr w:rsidR="003311E3" w:rsidRPr="003D2124" w:rsidTr="0073089D">
        <w:trPr>
          <w:trHeight w:val="270"/>
        </w:trPr>
        <w:tc>
          <w:tcPr>
            <w:tcW w:w="2709" w:type="dxa"/>
            <w:tcBorders>
              <w:top w:val="nil"/>
              <w:left w:val="nil"/>
              <w:bottom w:val="nil"/>
              <w:right w:val="single" w:sz="4" w:space="0" w:color="auto"/>
            </w:tcBorders>
            <w:shd w:val="clear" w:color="auto" w:fill="auto"/>
            <w:noWrap/>
            <w:vAlign w:val="center"/>
          </w:tcPr>
          <w:p w:rsidR="003311E3" w:rsidRPr="003D2124" w:rsidRDefault="00664CEA" w:rsidP="00664CEA">
            <w:pPr>
              <w:widowControl/>
              <w:spacing w:after="0"/>
              <w:jc w:val="left"/>
              <w:rPr>
                <w:rFonts w:ascii="Times New Roman" w:eastAsia="ＭＳ Ｐゴシック" w:hAnsi="Times New Roman" w:cs="Times New Roman"/>
                <w:color w:val="000000"/>
                <w:kern w:val="0"/>
                <w:sz w:val="18"/>
                <w:szCs w:val="18"/>
              </w:rPr>
            </w:pPr>
            <w:r>
              <w:rPr>
                <w:rFonts w:ascii="Times New Roman" w:eastAsia="ＭＳ Ｐゴシック" w:hAnsi="Times New Roman" w:cs="Times New Roman" w:hint="eastAsia"/>
                <w:color w:val="000000"/>
                <w:kern w:val="0"/>
                <w:sz w:val="18"/>
                <w:szCs w:val="18"/>
              </w:rPr>
              <w:t xml:space="preserve">　所得勘定</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-218.7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-322.1 </w:t>
            </w:r>
          </w:p>
        </w:tc>
        <w:tc>
          <w:tcPr>
            <w:tcW w:w="917"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-295.2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-439.8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-788.5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-1,029.9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-754.1 </w:t>
            </w:r>
          </w:p>
        </w:tc>
      </w:tr>
      <w:tr w:rsidR="003311E3" w:rsidRPr="003D2124" w:rsidTr="0073089D">
        <w:trPr>
          <w:trHeight w:val="270"/>
        </w:trPr>
        <w:tc>
          <w:tcPr>
            <w:tcW w:w="2709" w:type="dxa"/>
            <w:tcBorders>
              <w:top w:val="nil"/>
              <w:left w:val="nil"/>
              <w:bottom w:val="dashed" w:sz="4" w:space="0" w:color="auto"/>
              <w:right w:val="single" w:sz="4" w:space="0" w:color="auto"/>
            </w:tcBorders>
            <w:shd w:val="clear" w:color="auto" w:fill="auto"/>
            <w:noWrap/>
            <w:vAlign w:val="center"/>
          </w:tcPr>
          <w:p w:rsidR="003311E3" w:rsidRPr="003D2124" w:rsidRDefault="00664CEA" w:rsidP="00664CEA">
            <w:pPr>
              <w:widowControl/>
              <w:spacing w:after="0"/>
              <w:jc w:val="left"/>
              <w:rPr>
                <w:rFonts w:ascii="Times New Roman" w:eastAsia="ＭＳ Ｐゴシック" w:hAnsi="Times New Roman" w:cs="Times New Roman"/>
                <w:color w:val="000000"/>
                <w:kern w:val="0"/>
                <w:sz w:val="18"/>
                <w:szCs w:val="18"/>
              </w:rPr>
            </w:pPr>
            <w:r>
              <w:rPr>
                <w:rFonts w:ascii="Times New Roman" w:eastAsia="ＭＳ Ｐゴシック" w:hAnsi="Times New Roman" w:cs="Times New Roman" w:hint="eastAsia"/>
                <w:color w:val="000000"/>
                <w:kern w:val="0"/>
                <w:sz w:val="18"/>
                <w:szCs w:val="18"/>
              </w:rPr>
              <w:t xml:space="preserve">　経常移転</w:t>
            </w:r>
          </w:p>
        </w:tc>
        <w:tc>
          <w:tcPr>
            <w:tcW w:w="888" w:type="dxa"/>
            <w:tcBorders>
              <w:top w:val="nil"/>
              <w:left w:val="nil"/>
              <w:bottom w:val="dashed" w:sz="4" w:space="0" w:color="auto"/>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25.7 </w:t>
            </w:r>
          </w:p>
        </w:tc>
        <w:tc>
          <w:tcPr>
            <w:tcW w:w="888" w:type="dxa"/>
            <w:tcBorders>
              <w:top w:val="nil"/>
              <w:left w:val="nil"/>
              <w:bottom w:val="dashed" w:sz="4" w:space="0" w:color="auto"/>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-76.5 </w:t>
            </w:r>
          </w:p>
        </w:tc>
        <w:tc>
          <w:tcPr>
            <w:tcW w:w="917" w:type="dxa"/>
            <w:tcBorders>
              <w:top w:val="nil"/>
              <w:left w:val="nil"/>
              <w:bottom w:val="dashed" w:sz="4" w:space="0" w:color="auto"/>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-96.6 </w:t>
            </w:r>
          </w:p>
        </w:tc>
        <w:tc>
          <w:tcPr>
            <w:tcW w:w="888" w:type="dxa"/>
            <w:tcBorders>
              <w:top w:val="nil"/>
              <w:left w:val="nil"/>
              <w:bottom w:val="dashed" w:sz="4" w:space="0" w:color="auto"/>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-172.8 </w:t>
            </w:r>
          </w:p>
        </w:tc>
        <w:tc>
          <w:tcPr>
            <w:tcW w:w="888" w:type="dxa"/>
            <w:tcBorders>
              <w:top w:val="nil"/>
              <w:left w:val="nil"/>
              <w:bottom w:val="dashed" w:sz="4" w:space="0" w:color="auto"/>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-239.1 </w:t>
            </w:r>
          </w:p>
        </w:tc>
        <w:tc>
          <w:tcPr>
            <w:tcW w:w="888" w:type="dxa"/>
            <w:tcBorders>
              <w:top w:val="nil"/>
              <w:left w:val="nil"/>
              <w:bottom w:val="dashed" w:sz="4" w:space="0" w:color="auto"/>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-303.3 </w:t>
            </w:r>
          </w:p>
        </w:tc>
        <w:tc>
          <w:tcPr>
            <w:tcW w:w="888" w:type="dxa"/>
            <w:tcBorders>
              <w:top w:val="nil"/>
              <w:left w:val="nil"/>
              <w:bottom w:val="dashed" w:sz="4" w:space="0" w:color="auto"/>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-159.2 </w:t>
            </w:r>
          </w:p>
        </w:tc>
      </w:tr>
      <w:tr w:rsidR="003311E3" w:rsidRPr="003D2124" w:rsidTr="0073089D">
        <w:trPr>
          <w:trHeight w:val="270"/>
        </w:trPr>
        <w:tc>
          <w:tcPr>
            <w:tcW w:w="2709" w:type="dxa"/>
            <w:tcBorders>
              <w:top w:val="nil"/>
              <w:left w:val="nil"/>
              <w:bottom w:val="nil"/>
              <w:right w:val="single" w:sz="4" w:space="0" w:color="auto"/>
            </w:tcBorders>
            <w:shd w:val="clear" w:color="auto" w:fill="auto"/>
            <w:noWrap/>
            <w:vAlign w:val="center"/>
            <w:hideMark/>
          </w:tcPr>
          <w:p w:rsidR="003311E3" w:rsidRPr="003D2124" w:rsidRDefault="00664CEA" w:rsidP="00664CEA">
            <w:pPr>
              <w:widowControl/>
              <w:spacing w:after="0"/>
              <w:jc w:val="left"/>
              <w:rPr>
                <w:rFonts w:ascii="Times New Roman" w:eastAsia="ＭＳ Ｐゴシック" w:hAnsi="Times New Roman" w:cs="Times New Roman"/>
                <w:color w:val="000000"/>
                <w:kern w:val="0"/>
                <w:sz w:val="18"/>
                <w:szCs w:val="18"/>
              </w:rPr>
            </w:pPr>
            <w:r>
              <w:rPr>
                <w:rFonts w:ascii="Times New Roman" w:eastAsia="ＭＳ Ｐゴシック" w:hAnsi="Times New Roman" w:cs="Times New Roman" w:hint="eastAsia"/>
                <w:color w:val="000000"/>
                <w:kern w:val="0"/>
                <w:sz w:val="18"/>
                <w:szCs w:val="18"/>
              </w:rPr>
              <w:t>資本・金融勘定</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45.7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697.6 </w:t>
            </w:r>
          </w:p>
        </w:tc>
        <w:tc>
          <w:tcPr>
            <w:tcW w:w="917"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970.4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1,091.5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1,919.7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2,597.1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174.6 </w:t>
            </w:r>
          </w:p>
        </w:tc>
      </w:tr>
      <w:tr w:rsidR="003311E3" w:rsidRPr="003D2124" w:rsidTr="0073089D">
        <w:trPr>
          <w:trHeight w:val="270"/>
        </w:trPr>
        <w:tc>
          <w:tcPr>
            <w:tcW w:w="2709" w:type="dxa"/>
            <w:tcBorders>
              <w:top w:val="nil"/>
              <w:left w:val="nil"/>
              <w:bottom w:val="nil"/>
              <w:right w:val="single" w:sz="4" w:space="0" w:color="auto"/>
            </w:tcBorders>
            <w:shd w:val="clear" w:color="auto" w:fill="auto"/>
            <w:noWrap/>
            <w:vAlign w:val="center"/>
            <w:hideMark/>
          </w:tcPr>
          <w:p w:rsidR="003311E3" w:rsidRPr="003D2124" w:rsidRDefault="003311E3" w:rsidP="00664CEA">
            <w:pPr>
              <w:widowControl/>
              <w:spacing w:after="0"/>
              <w:jc w:val="lef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  </w:t>
            </w:r>
            <w:r w:rsidR="00664CEA">
              <w:rPr>
                <w:rFonts w:ascii="Times New Roman" w:eastAsia="ＭＳ Ｐゴシック" w:hAnsi="Times New Roman" w:cs="Times New Roman" w:hint="eastAsia"/>
                <w:color w:val="000000"/>
                <w:kern w:val="0"/>
                <w:sz w:val="18"/>
                <w:szCs w:val="18"/>
              </w:rPr>
              <w:t>資本勘定</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-165.5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-96.1 </w:t>
            </w:r>
          </w:p>
        </w:tc>
        <w:tc>
          <w:tcPr>
            <w:tcW w:w="917"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-113.9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-131.5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-51.9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-25.4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14.0 </w:t>
            </w:r>
          </w:p>
        </w:tc>
      </w:tr>
      <w:tr w:rsidR="003311E3" w:rsidRPr="003D2124" w:rsidTr="0073089D">
        <w:trPr>
          <w:trHeight w:val="270"/>
        </w:trPr>
        <w:tc>
          <w:tcPr>
            <w:tcW w:w="2709" w:type="dxa"/>
            <w:tcBorders>
              <w:top w:val="nil"/>
              <w:left w:val="nil"/>
              <w:bottom w:val="nil"/>
              <w:right w:val="single" w:sz="4" w:space="0" w:color="auto"/>
            </w:tcBorders>
            <w:shd w:val="clear" w:color="auto" w:fill="auto"/>
            <w:noWrap/>
            <w:vAlign w:val="center"/>
            <w:hideMark/>
          </w:tcPr>
          <w:p w:rsidR="003311E3" w:rsidRPr="003D2124" w:rsidRDefault="003311E3" w:rsidP="00664CEA">
            <w:pPr>
              <w:widowControl/>
              <w:spacing w:after="0"/>
              <w:jc w:val="lef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  </w:t>
            </w:r>
            <w:r w:rsidR="00664CEA">
              <w:rPr>
                <w:rFonts w:ascii="Times New Roman" w:eastAsia="ＭＳ Ｐゴシック" w:hAnsi="Times New Roman" w:cs="Times New Roman" w:hint="eastAsia"/>
                <w:color w:val="000000"/>
                <w:kern w:val="0"/>
                <w:sz w:val="18"/>
                <w:szCs w:val="18"/>
              </w:rPr>
              <w:t>金融勘定</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211.2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793.7 </w:t>
            </w:r>
          </w:p>
        </w:tc>
        <w:tc>
          <w:tcPr>
            <w:tcW w:w="917"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1,084.3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1,223.0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1,971.5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2,622.5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160.6 </w:t>
            </w:r>
          </w:p>
        </w:tc>
      </w:tr>
      <w:tr w:rsidR="003311E3" w:rsidRPr="003D2124" w:rsidTr="0073089D">
        <w:trPr>
          <w:trHeight w:val="270"/>
        </w:trPr>
        <w:tc>
          <w:tcPr>
            <w:tcW w:w="2709" w:type="dxa"/>
            <w:tcBorders>
              <w:top w:val="nil"/>
              <w:left w:val="nil"/>
              <w:bottom w:val="nil"/>
              <w:right w:val="single" w:sz="4" w:space="0" w:color="auto"/>
            </w:tcBorders>
            <w:shd w:val="clear" w:color="auto" w:fill="auto"/>
            <w:noWrap/>
            <w:vAlign w:val="center"/>
            <w:hideMark/>
          </w:tcPr>
          <w:p w:rsidR="003311E3" w:rsidRPr="003D2124" w:rsidRDefault="003311E3" w:rsidP="00664CEA">
            <w:pPr>
              <w:widowControl/>
              <w:spacing w:after="0"/>
              <w:jc w:val="lef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      </w:t>
            </w:r>
            <w:r w:rsidR="00664CEA">
              <w:rPr>
                <w:rFonts w:ascii="Times New Roman" w:eastAsia="ＭＳ Ｐゴシック" w:hAnsi="Times New Roman" w:cs="Times New Roman" w:hint="eastAsia"/>
                <w:color w:val="000000"/>
                <w:kern w:val="0"/>
                <w:sz w:val="18"/>
                <w:szCs w:val="18"/>
              </w:rPr>
              <w:t>直接投資（対外）</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-421.3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-441.0 </w:t>
            </w:r>
          </w:p>
        </w:tc>
        <w:tc>
          <w:tcPr>
            <w:tcW w:w="917"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-515.6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-687.0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-1,362.3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-1,002.1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-186.9 </w:t>
            </w:r>
          </w:p>
        </w:tc>
      </w:tr>
      <w:tr w:rsidR="003311E3" w:rsidRPr="003D2124" w:rsidTr="0073089D">
        <w:trPr>
          <w:trHeight w:val="270"/>
        </w:trPr>
        <w:tc>
          <w:tcPr>
            <w:tcW w:w="2709" w:type="dxa"/>
            <w:tcBorders>
              <w:top w:val="nil"/>
              <w:left w:val="nil"/>
              <w:bottom w:val="nil"/>
              <w:right w:val="single" w:sz="4" w:space="0" w:color="auto"/>
            </w:tcBorders>
            <w:shd w:val="clear" w:color="auto" w:fill="auto"/>
            <w:noWrap/>
            <w:vAlign w:val="center"/>
            <w:hideMark/>
          </w:tcPr>
          <w:p w:rsidR="003311E3" w:rsidRPr="003D2124" w:rsidRDefault="003311E3" w:rsidP="00664CEA">
            <w:pPr>
              <w:widowControl/>
              <w:spacing w:after="0"/>
              <w:jc w:val="lef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      </w:t>
            </w:r>
            <w:r w:rsidR="00664CEA">
              <w:rPr>
                <w:rFonts w:ascii="Times New Roman" w:eastAsia="ＭＳ Ｐゴシック" w:hAnsi="Times New Roman" w:cs="Times New Roman" w:hint="eastAsia"/>
                <w:color w:val="000000"/>
                <w:kern w:val="0"/>
                <w:sz w:val="18"/>
                <w:szCs w:val="18"/>
              </w:rPr>
              <w:t>直接投資（対内）</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270.5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665.2 </w:t>
            </w:r>
          </w:p>
        </w:tc>
        <w:tc>
          <w:tcPr>
            <w:tcW w:w="917"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472.5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513.3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1,106.4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1,329.5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-469.7 </w:t>
            </w:r>
          </w:p>
        </w:tc>
      </w:tr>
      <w:tr w:rsidR="003311E3" w:rsidRPr="003D2124" w:rsidTr="0073089D">
        <w:trPr>
          <w:trHeight w:val="270"/>
        </w:trPr>
        <w:tc>
          <w:tcPr>
            <w:tcW w:w="2709" w:type="dxa"/>
            <w:tcBorders>
              <w:top w:val="nil"/>
              <w:left w:val="nil"/>
              <w:bottom w:val="nil"/>
              <w:right w:val="single" w:sz="4" w:space="0" w:color="auto"/>
            </w:tcBorders>
            <w:shd w:val="clear" w:color="auto" w:fill="auto"/>
            <w:noWrap/>
            <w:vAlign w:val="center"/>
            <w:hideMark/>
          </w:tcPr>
          <w:p w:rsidR="003311E3" w:rsidRPr="003D2124" w:rsidRDefault="003311E3" w:rsidP="00664CEA">
            <w:pPr>
              <w:widowControl/>
              <w:spacing w:after="0"/>
              <w:jc w:val="lef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      </w:t>
            </w:r>
            <w:r w:rsidR="00664CEA">
              <w:rPr>
                <w:rFonts w:ascii="Times New Roman" w:eastAsia="ＭＳ Ｐゴシック" w:hAnsi="Times New Roman" w:cs="Times New Roman" w:hint="eastAsia"/>
                <w:color w:val="000000"/>
                <w:kern w:val="0"/>
                <w:sz w:val="18"/>
                <w:szCs w:val="18"/>
              </w:rPr>
              <w:t>ポートフォリオ投資</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-223.0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-637.1 </w:t>
            </w:r>
          </w:p>
        </w:tc>
        <w:tc>
          <w:tcPr>
            <w:tcW w:w="917"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-1,313.4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-1,442.5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-2,255.4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572.2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4,627.6 </w:t>
            </w:r>
          </w:p>
        </w:tc>
      </w:tr>
      <w:tr w:rsidR="003311E3" w:rsidRPr="003D2124" w:rsidTr="0073089D">
        <w:trPr>
          <w:trHeight w:val="270"/>
        </w:trPr>
        <w:tc>
          <w:tcPr>
            <w:tcW w:w="2709" w:type="dxa"/>
            <w:tcBorders>
              <w:top w:val="nil"/>
              <w:left w:val="nil"/>
              <w:bottom w:val="nil"/>
              <w:right w:val="single" w:sz="4" w:space="0" w:color="auto"/>
            </w:tcBorders>
            <w:shd w:val="clear" w:color="auto" w:fill="auto"/>
            <w:noWrap/>
            <w:vAlign w:val="center"/>
            <w:hideMark/>
          </w:tcPr>
          <w:p w:rsidR="003311E3" w:rsidRPr="003D2124" w:rsidRDefault="003311E3" w:rsidP="00664CEA">
            <w:pPr>
              <w:widowControl/>
              <w:spacing w:after="0"/>
              <w:jc w:val="lef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      </w:t>
            </w:r>
            <w:r w:rsidR="00664CEA">
              <w:rPr>
                <w:rFonts w:ascii="Times New Roman" w:eastAsia="ＭＳ Ｐゴシック" w:hAnsi="Times New Roman" w:cs="Times New Roman" w:hint="eastAsia"/>
                <w:color w:val="000000"/>
                <w:kern w:val="0"/>
                <w:sz w:val="18"/>
                <w:szCs w:val="18"/>
              </w:rPr>
              <w:t>その他投資</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849.2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944.9 </w:t>
            </w:r>
          </w:p>
        </w:tc>
        <w:tc>
          <w:tcPr>
            <w:tcW w:w="917"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2,639.5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1,570.9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4,358.4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1,655.9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-3,975.5 </w:t>
            </w:r>
          </w:p>
        </w:tc>
      </w:tr>
      <w:tr w:rsidR="003311E3" w:rsidRPr="003D2124" w:rsidTr="0073089D">
        <w:trPr>
          <w:trHeight w:val="270"/>
        </w:trPr>
        <w:tc>
          <w:tcPr>
            <w:tcW w:w="2709" w:type="dxa"/>
            <w:tcBorders>
              <w:top w:val="nil"/>
              <w:left w:val="nil"/>
              <w:bottom w:val="nil"/>
              <w:right w:val="single" w:sz="4" w:space="0" w:color="auto"/>
            </w:tcBorders>
            <w:shd w:val="clear" w:color="auto" w:fill="auto"/>
            <w:noWrap/>
            <w:vAlign w:val="center"/>
            <w:hideMark/>
          </w:tcPr>
          <w:p w:rsidR="003311E3" w:rsidRPr="003D2124" w:rsidRDefault="003311E3" w:rsidP="00664CEA">
            <w:pPr>
              <w:widowControl/>
              <w:spacing w:after="0"/>
              <w:jc w:val="lef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        </w:t>
            </w:r>
            <w:r w:rsidR="00664CEA">
              <w:rPr>
                <w:rFonts w:ascii="Times New Roman" w:eastAsia="ＭＳ Ｐゴシック" w:hAnsi="Times New Roman" w:cs="Times New Roman" w:hint="eastAsia"/>
                <w:color w:val="000000"/>
                <w:kern w:val="0"/>
                <w:sz w:val="18"/>
                <w:szCs w:val="18"/>
              </w:rPr>
              <w:t>資産</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-730.3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-1,307.9 </w:t>
            </w:r>
          </w:p>
        </w:tc>
        <w:tc>
          <w:tcPr>
            <w:tcW w:w="917"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-1,458.8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-1,939.2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-4,695.5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-322.1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-267.3 </w:t>
            </w:r>
          </w:p>
        </w:tc>
      </w:tr>
      <w:tr w:rsidR="003311E3" w:rsidRPr="003D2124" w:rsidTr="0073089D">
        <w:trPr>
          <w:trHeight w:val="270"/>
        </w:trPr>
        <w:tc>
          <w:tcPr>
            <w:tcW w:w="2709" w:type="dxa"/>
            <w:tcBorders>
              <w:top w:val="nil"/>
              <w:left w:val="nil"/>
              <w:bottom w:val="nil"/>
              <w:right w:val="single" w:sz="4" w:space="0" w:color="auto"/>
            </w:tcBorders>
            <w:shd w:val="clear" w:color="auto" w:fill="auto"/>
            <w:noWrap/>
            <w:vAlign w:val="center"/>
            <w:hideMark/>
          </w:tcPr>
          <w:p w:rsidR="003311E3" w:rsidRPr="003D2124" w:rsidRDefault="003311E3" w:rsidP="00664CEA">
            <w:pPr>
              <w:widowControl/>
              <w:spacing w:after="0"/>
              <w:jc w:val="lef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          </w:t>
            </w:r>
            <w:r w:rsidR="00664CEA">
              <w:rPr>
                <w:rFonts w:ascii="Times New Roman" w:eastAsia="ＭＳ Ｐゴシック" w:hAnsi="Times New Roman" w:cs="Times New Roman" w:hint="eastAsia"/>
                <w:color w:val="000000"/>
                <w:kern w:val="0"/>
                <w:sz w:val="18"/>
                <w:szCs w:val="18"/>
              </w:rPr>
              <w:t>ローン</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-223.4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-281.0 </w:t>
            </w:r>
          </w:p>
        </w:tc>
        <w:tc>
          <w:tcPr>
            <w:tcW w:w="917"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-339.8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-733.2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-1,895.1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-324.6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-0.7 </w:t>
            </w:r>
          </w:p>
        </w:tc>
      </w:tr>
      <w:tr w:rsidR="003311E3" w:rsidRPr="003D2124" w:rsidTr="0073089D">
        <w:trPr>
          <w:trHeight w:val="270"/>
        </w:trPr>
        <w:tc>
          <w:tcPr>
            <w:tcW w:w="2709" w:type="dxa"/>
            <w:tcBorders>
              <w:top w:val="nil"/>
              <w:left w:val="nil"/>
              <w:bottom w:val="nil"/>
              <w:right w:val="single" w:sz="4" w:space="0" w:color="auto"/>
            </w:tcBorders>
            <w:shd w:val="clear" w:color="auto" w:fill="auto"/>
            <w:noWrap/>
            <w:vAlign w:val="center"/>
            <w:hideMark/>
          </w:tcPr>
          <w:p w:rsidR="003311E3" w:rsidRPr="003D2124" w:rsidRDefault="003311E3" w:rsidP="00664CEA">
            <w:pPr>
              <w:widowControl/>
              <w:spacing w:after="0"/>
              <w:jc w:val="lef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            </w:t>
            </w:r>
            <w:r w:rsidR="00664CEA">
              <w:rPr>
                <w:rFonts w:ascii="Times New Roman" w:eastAsia="ＭＳ Ｐゴシック" w:hAnsi="Times New Roman" w:cs="Times New Roman" w:hint="eastAsia"/>
                <w:color w:val="000000"/>
                <w:kern w:val="0"/>
                <w:sz w:val="18"/>
                <w:szCs w:val="18"/>
              </w:rPr>
              <w:t>商業銀行</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-128.3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-205.3 </w:t>
            </w:r>
          </w:p>
        </w:tc>
        <w:tc>
          <w:tcPr>
            <w:tcW w:w="917"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-234.6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-476.1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-1,706.7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-231.4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-30.4 </w:t>
            </w:r>
          </w:p>
        </w:tc>
      </w:tr>
      <w:tr w:rsidR="003311E3" w:rsidRPr="003D2124" w:rsidTr="0073089D">
        <w:trPr>
          <w:trHeight w:val="270"/>
        </w:trPr>
        <w:tc>
          <w:tcPr>
            <w:tcW w:w="2709" w:type="dxa"/>
            <w:tcBorders>
              <w:top w:val="nil"/>
              <w:left w:val="nil"/>
              <w:bottom w:val="nil"/>
              <w:right w:val="single" w:sz="4" w:space="0" w:color="auto"/>
            </w:tcBorders>
            <w:shd w:val="clear" w:color="auto" w:fill="auto"/>
            <w:noWrap/>
            <w:vAlign w:val="center"/>
            <w:hideMark/>
          </w:tcPr>
          <w:p w:rsidR="003311E3" w:rsidRPr="003D2124" w:rsidRDefault="003311E3" w:rsidP="00664CEA">
            <w:pPr>
              <w:widowControl/>
              <w:spacing w:after="0"/>
              <w:jc w:val="lef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            </w:t>
            </w:r>
            <w:r w:rsidR="00664CEA">
              <w:rPr>
                <w:rFonts w:ascii="Times New Roman" w:eastAsia="ＭＳ Ｐゴシック" w:hAnsi="Times New Roman" w:cs="Times New Roman" w:hint="eastAsia"/>
                <w:color w:val="000000"/>
                <w:kern w:val="0"/>
                <w:sz w:val="18"/>
                <w:szCs w:val="18"/>
              </w:rPr>
              <w:t>その他のセクター</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-95.1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-75.6 </w:t>
            </w:r>
          </w:p>
        </w:tc>
        <w:tc>
          <w:tcPr>
            <w:tcW w:w="917"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-105.2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-257.1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-188.4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-93.2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29.7 </w:t>
            </w:r>
          </w:p>
        </w:tc>
      </w:tr>
      <w:tr w:rsidR="003311E3" w:rsidRPr="003D2124" w:rsidTr="0073089D">
        <w:trPr>
          <w:trHeight w:val="270"/>
        </w:trPr>
        <w:tc>
          <w:tcPr>
            <w:tcW w:w="2709" w:type="dxa"/>
            <w:tcBorders>
              <w:top w:val="nil"/>
              <w:left w:val="nil"/>
              <w:bottom w:val="nil"/>
              <w:right w:val="single" w:sz="4" w:space="0" w:color="auto"/>
            </w:tcBorders>
            <w:shd w:val="clear" w:color="auto" w:fill="auto"/>
            <w:noWrap/>
            <w:vAlign w:val="center"/>
            <w:hideMark/>
          </w:tcPr>
          <w:p w:rsidR="003311E3" w:rsidRPr="003D2124" w:rsidRDefault="003311E3" w:rsidP="00664CEA">
            <w:pPr>
              <w:widowControl/>
              <w:spacing w:after="0"/>
              <w:jc w:val="lef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          </w:t>
            </w:r>
            <w:r w:rsidR="00664CEA">
              <w:rPr>
                <w:rFonts w:ascii="Times New Roman" w:eastAsia="ＭＳ Ｐゴシック" w:hAnsi="Times New Roman" w:cs="Times New Roman" w:hint="eastAsia"/>
                <w:color w:val="000000"/>
                <w:kern w:val="0"/>
                <w:sz w:val="18"/>
                <w:szCs w:val="18"/>
              </w:rPr>
              <w:t>預金</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-322.8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-720.4 </w:t>
            </w:r>
          </w:p>
        </w:tc>
        <w:tc>
          <w:tcPr>
            <w:tcW w:w="917"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-871.8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-743.0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-2,408.0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140.5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-602.9 </w:t>
            </w:r>
          </w:p>
        </w:tc>
      </w:tr>
      <w:tr w:rsidR="003311E3" w:rsidRPr="003D2124" w:rsidTr="0073089D">
        <w:trPr>
          <w:trHeight w:val="270"/>
        </w:trPr>
        <w:tc>
          <w:tcPr>
            <w:tcW w:w="2709" w:type="dxa"/>
            <w:tcBorders>
              <w:top w:val="nil"/>
              <w:left w:val="nil"/>
              <w:bottom w:val="nil"/>
              <w:right w:val="single" w:sz="4" w:space="0" w:color="auto"/>
            </w:tcBorders>
            <w:shd w:val="clear" w:color="auto" w:fill="auto"/>
            <w:noWrap/>
            <w:vAlign w:val="center"/>
            <w:hideMark/>
          </w:tcPr>
          <w:p w:rsidR="003311E3" w:rsidRPr="003D2124" w:rsidRDefault="003311E3" w:rsidP="00664CEA">
            <w:pPr>
              <w:widowControl/>
              <w:spacing w:after="0"/>
              <w:jc w:val="lef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            </w:t>
            </w:r>
            <w:r w:rsidR="00664CEA">
              <w:rPr>
                <w:rFonts w:ascii="Times New Roman" w:eastAsia="ＭＳ Ｐゴシック" w:hAnsi="Times New Roman" w:cs="Times New Roman" w:hint="eastAsia"/>
                <w:color w:val="000000"/>
                <w:kern w:val="0"/>
                <w:sz w:val="18"/>
                <w:szCs w:val="18"/>
              </w:rPr>
              <w:t>商業銀行</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303.9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-0.8 </w:t>
            </w:r>
          </w:p>
        </w:tc>
        <w:tc>
          <w:tcPr>
            <w:tcW w:w="917"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-447.3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37.1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-870.5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308.8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-623.2 </w:t>
            </w:r>
          </w:p>
        </w:tc>
      </w:tr>
      <w:tr w:rsidR="003311E3" w:rsidRPr="003D2124" w:rsidTr="0073089D">
        <w:trPr>
          <w:trHeight w:val="270"/>
        </w:trPr>
        <w:tc>
          <w:tcPr>
            <w:tcW w:w="2709" w:type="dxa"/>
            <w:tcBorders>
              <w:top w:val="nil"/>
              <w:left w:val="nil"/>
              <w:bottom w:val="nil"/>
              <w:right w:val="single" w:sz="4" w:space="0" w:color="auto"/>
            </w:tcBorders>
            <w:shd w:val="clear" w:color="auto" w:fill="auto"/>
            <w:noWrap/>
            <w:vAlign w:val="center"/>
            <w:hideMark/>
          </w:tcPr>
          <w:p w:rsidR="003311E3" w:rsidRPr="003D2124" w:rsidRDefault="003311E3" w:rsidP="00664CEA">
            <w:pPr>
              <w:widowControl/>
              <w:spacing w:after="0"/>
              <w:jc w:val="lef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            </w:t>
            </w:r>
            <w:r w:rsidR="00664CEA">
              <w:rPr>
                <w:rFonts w:ascii="Times New Roman" w:eastAsia="ＭＳ Ｐゴシック" w:hAnsi="Times New Roman" w:cs="Times New Roman" w:hint="eastAsia"/>
                <w:color w:val="000000"/>
                <w:kern w:val="0"/>
                <w:sz w:val="18"/>
                <w:szCs w:val="18"/>
              </w:rPr>
              <w:t>その他のセクター</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-526.7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-719.6 </w:t>
            </w:r>
          </w:p>
        </w:tc>
        <w:tc>
          <w:tcPr>
            <w:tcW w:w="917"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-424.5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-780.1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-664.2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-652.0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-760.1 </w:t>
            </w:r>
          </w:p>
        </w:tc>
      </w:tr>
      <w:tr w:rsidR="003311E3" w:rsidRPr="003D2124" w:rsidTr="0073089D">
        <w:trPr>
          <w:trHeight w:val="270"/>
        </w:trPr>
        <w:tc>
          <w:tcPr>
            <w:tcW w:w="2709" w:type="dxa"/>
            <w:tcBorders>
              <w:top w:val="nil"/>
              <w:left w:val="nil"/>
              <w:bottom w:val="nil"/>
              <w:right w:val="single" w:sz="4" w:space="0" w:color="auto"/>
            </w:tcBorders>
            <w:shd w:val="clear" w:color="auto" w:fill="auto"/>
            <w:noWrap/>
            <w:vAlign w:val="center"/>
            <w:hideMark/>
          </w:tcPr>
          <w:p w:rsidR="003311E3" w:rsidRPr="003D2124" w:rsidRDefault="003311E3" w:rsidP="00664CEA">
            <w:pPr>
              <w:widowControl/>
              <w:spacing w:after="0"/>
              <w:jc w:val="lef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       </w:t>
            </w:r>
            <w:r w:rsidR="00664CEA">
              <w:rPr>
                <w:rFonts w:ascii="Times New Roman" w:eastAsia="ＭＳ Ｐゴシック" w:hAnsi="Times New Roman" w:cs="Times New Roman" w:hint="eastAsia"/>
                <w:color w:val="000000"/>
                <w:kern w:val="0"/>
                <w:sz w:val="18"/>
                <w:szCs w:val="18"/>
              </w:rPr>
              <w:t>負債</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1,579.5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2,252.5 </w:t>
            </w:r>
          </w:p>
        </w:tc>
        <w:tc>
          <w:tcPr>
            <w:tcW w:w="917"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4,098.3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3,510.1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9,053.9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1,977.9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-3,708.3 </w:t>
            </w:r>
          </w:p>
        </w:tc>
      </w:tr>
      <w:tr w:rsidR="003311E3" w:rsidRPr="003D2124" w:rsidTr="0073089D">
        <w:trPr>
          <w:trHeight w:val="270"/>
        </w:trPr>
        <w:tc>
          <w:tcPr>
            <w:tcW w:w="2709" w:type="dxa"/>
            <w:tcBorders>
              <w:top w:val="nil"/>
              <w:left w:val="nil"/>
              <w:bottom w:val="nil"/>
              <w:right w:val="single" w:sz="4" w:space="0" w:color="auto"/>
            </w:tcBorders>
            <w:shd w:val="clear" w:color="auto" w:fill="auto"/>
            <w:noWrap/>
            <w:vAlign w:val="center"/>
            <w:hideMark/>
          </w:tcPr>
          <w:p w:rsidR="003311E3" w:rsidRPr="003D2124" w:rsidRDefault="003311E3" w:rsidP="00664CEA">
            <w:pPr>
              <w:widowControl/>
              <w:spacing w:after="0"/>
              <w:jc w:val="lef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          </w:t>
            </w:r>
            <w:r w:rsidR="00664CEA">
              <w:rPr>
                <w:rFonts w:ascii="Times New Roman" w:eastAsia="ＭＳ Ｐゴシック" w:hAnsi="Times New Roman" w:cs="Times New Roman" w:hint="eastAsia"/>
                <w:color w:val="000000"/>
                <w:kern w:val="0"/>
                <w:sz w:val="18"/>
                <w:szCs w:val="18"/>
              </w:rPr>
              <w:t>ローン</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1,123.2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1.671.1</w:t>
            </w:r>
          </w:p>
        </w:tc>
        <w:tc>
          <w:tcPr>
            <w:tcW w:w="917"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2.731.4</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2.063.6</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3.841.1</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1,868.6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-2,910.8 </w:t>
            </w:r>
          </w:p>
        </w:tc>
      </w:tr>
      <w:tr w:rsidR="003311E3" w:rsidRPr="003D2124" w:rsidTr="0073089D">
        <w:trPr>
          <w:trHeight w:val="270"/>
        </w:trPr>
        <w:tc>
          <w:tcPr>
            <w:tcW w:w="2709" w:type="dxa"/>
            <w:tcBorders>
              <w:top w:val="nil"/>
              <w:left w:val="nil"/>
              <w:bottom w:val="nil"/>
              <w:right w:val="single" w:sz="4" w:space="0" w:color="auto"/>
            </w:tcBorders>
            <w:shd w:val="clear" w:color="auto" w:fill="auto"/>
            <w:noWrap/>
            <w:vAlign w:val="center"/>
            <w:hideMark/>
          </w:tcPr>
          <w:p w:rsidR="003311E3" w:rsidRPr="003D2124" w:rsidRDefault="003311E3" w:rsidP="00664CEA">
            <w:pPr>
              <w:widowControl/>
              <w:spacing w:after="0"/>
              <w:jc w:val="lef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            </w:t>
            </w:r>
            <w:r w:rsidR="00664CEA">
              <w:rPr>
                <w:rFonts w:ascii="Times New Roman" w:eastAsia="ＭＳ Ｐゴシック" w:hAnsi="Times New Roman" w:cs="Times New Roman" w:hint="eastAsia"/>
                <w:color w:val="000000"/>
                <w:kern w:val="0"/>
                <w:sz w:val="18"/>
                <w:szCs w:val="18"/>
              </w:rPr>
              <w:t>商業銀行</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659.7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961.3 </w:t>
            </w:r>
          </w:p>
        </w:tc>
        <w:tc>
          <w:tcPr>
            <w:tcW w:w="917"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2,465.3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1,442.6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3,354.5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1,227.8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-2,962.9 </w:t>
            </w:r>
          </w:p>
        </w:tc>
      </w:tr>
      <w:tr w:rsidR="003311E3" w:rsidRPr="003D2124" w:rsidTr="0073089D">
        <w:trPr>
          <w:trHeight w:val="270"/>
        </w:trPr>
        <w:tc>
          <w:tcPr>
            <w:tcW w:w="2709" w:type="dxa"/>
            <w:tcBorders>
              <w:top w:val="nil"/>
              <w:left w:val="nil"/>
              <w:bottom w:val="nil"/>
              <w:right w:val="single" w:sz="4" w:space="0" w:color="auto"/>
            </w:tcBorders>
            <w:shd w:val="clear" w:color="auto" w:fill="auto"/>
            <w:noWrap/>
            <w:vAlign w:val="center"/>
            <w:hideMark/>
          </w:tcPr>
          <w:p w:rsidR="003311E3" w:rsidRPr="003D2124" w:rsidRDefault="003311E3" w:rsidP="00664CEA">
            <w:pPr>
              <w:widowControl/>
              <w:spacing w:after="0"/>
              <w:jc w:val="lef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            </w:t>
            </w:r>
            <w:r w:rsidR="00664CEA">
              <w:rPr>
                <w:rFonts w:ascii="Times New Roman" w:eastAsia="ＭＳ Ｐゴシック" w:hAnsi="Times New Roman" w:cs="Times New Roman" w:hint="eastAsia"/>
                <w:color w:val="000000"/>
                <w:kern w:val="0"/>
                <w:sz w:val="18"/>
                <w:szCs w:val="18"/>
              </w:rPr>
              <w:t>その他のセクター</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529.4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705.1 </w:t>
            </w:r>
          </w:p>
        </w:tc>
        <w:tc>
          <w:tcPr>
            <w:tcW w:w="917"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292.9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735.9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529.4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669.6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72.2 </w:t>
            </w:r>
          </w:p>
        </w:tc>
      </w:tr>
      <w:tr w:rsidR="003311E3" w:rsidRPr="003D2124" w:rsidTr="0073089D">
        <w:trPr>
          <w:trHeight w:val="270"/>
        </w:trPr>
        <w:tc>
          <w:tcPr>
            <w:tcW w:w="2709" w:type="dxa"/>
            <w:tcBorders>
              <w:top w:val="nil"/>
              <w:left w:val="nil"/>
              <w:bottom w:val="nil"/>
              <w:right w:val="single" w:sz="4" w:space="0" w:color="auto"/>
            </w:tcBorders>
            <w:shd w:val="clear" w:color="auto" w:fill="auto"/>
            <w:noWrap/>
            <w:vAlign w:val="center"/>
            <w:hideMark/>
          </w:tcPr>
          <w:p w:rsidR="003311E3" w:rsidRPr="003D2124" w:rsidRDefault="003311E3" w:rsidP="00664CEA">
            <w:pPr>
              <w:widowControl/>
              <w:spacing w:after="0"/>
              <w:jc w:val="lef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          </w:t>
            </w:r>
            <w:r w:rsidR="00664CEA">
              <w:rPr>
                <w:rFonts w:ascii="Times New Roman" w:eastAsia="ＭＳ Ｐゴシック" w:hAnsi="Times New Roman" w:cs="Times New Roman" w:hint="eastAsia"/>
                <w:color w:val="000000"/>
                <w:kern w:val="0"/>
                <w:sz w:val="18"/>
                <w:szCs w:val="18"/>
              </w:rPr>
              <w:t>預金</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428.2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335.1 </w:t>
            </w:r>
          </w:p>
        </w:tc>
        <w:tc>
          <w:tcPr>
            <w:tcW w:w="917"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1,052.6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998.2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4,726.7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189.8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-318.8 </w:t>
            </w:r>
          </w:p>
        </w:tc>
      </w:tr>
      <w:tr w:rsidR="003311E3" w:rsidRPr="003D2124" w:rsidTr="0073089D">
        <w:trPr>
          <w:trHeight w:val="270"/>
        </w:trPr>
        <w:tc>
          <w:tcPr>
            <w:tcW w:w="2709" w:type="dxa"/>
            <w:tcBorders>
              <w:top w:val="nil"/>
              <w:left w:val="nil"/>
              <w:bottom w:val="nil"/>
              <w:right w:val="single" w:sz="4" w:space="0" w:color="auto"/>
            </w:tcBorders>
            <w:shd w:val="clear" w:color="auto" w:fill="auto"/>
            <w:noWrap/>
            <w:vAlign w:val="center"/>
            <w:hideMark/>
          </w:tcPr>
          <w:p w:rsidR="003311E3" w:rsidRPr="003D2124" w:rsidRDefault="003311E3" w:rsidP="00006C84">
            <w:pPr>
              <w:widowControl/>
              <w:spacing w:after="0"/>
              <w:jc w:val="lef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            </w:t>
            </w:r>
            <w:r w:rsidR="00006C84">
              <w:rPr>
                <w:rFonts w:ascii="Times New Roman" w:eastAsia="ＭＳ Ｐゴシック" w:hAnsi="Times New Roman" w:cs="Times New Roman" w:hint="eastAsia"/>
                <w:color w:val="000000"/>
                <w:kern w:val="0"/>
                <w:sz w:val="18"/>
                <w:szCs w:val="18"/>
              </w:rPr>
              <w:t>商業銀行</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428.2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236.3 </w:t>
            </w:r>
          </w:p>
        </w:tc>
        <w:tc>
          <w:tcPr>
            <w:tcW w:w="917"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1,050.9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991.2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1,182.1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146.8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-74.6 </w:t>
            </w:r>
          </w:p>
        </w:tc>
      </w:tr>
      <w:tr w:rsidR="003311E3" w:rsidRPr="003D2124" w:rsidTr="0073089D">
        <w:trPr>
          <w:trHeight w:val="270"/>
        </w:trPr>
        <w:tc>
          <w:tcPr>
            <w:tcW w:w="2709" w:type="dxa"/>
            <w:tcBorders>
              <w:top w:val="nil"/>
              <w:left w:val="nil"/>
              <w:bottom w:val="dashed" w:sz="4" w:space="0" w:color="auto"/>
              <w:right w:val="single" w:sz="4" w:space="0" w:color="auto"/>
            </w:tcBorders>
            <w:shd w:val="clear" w:color="auto" w:fill="auto"/>
            <w:noWrap/>
            <w:vAlign w:val="center"/>
            <w:hideMark/>
          </w:tcPr>
          <w:p w:rsidR="003311E3" w:rsidRPr="003D2124" w:rsidRDefault="003311E3" w:rsidP="00006C84">
            <w:pPr>
              <w:widowControl/>
              <w:spacing w:after="0"/>
              <w:jc w:val="lef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            </w:t>
            </w:r>
            <w:r w:rsidR="00006C84">
              <w:rPr>
                <w:rFonts w:ascii="Times New Roman" w:eastAsia="ＭＳ Ｐゴシック" w:hAnsi="Times New Roman" w:cs="Times New Roman" w:hint="eastAsia"/>
                <w:color w:val="000000"/>
                <w:kern w:val="0"/>
                <w:sz w:val="18"/>
                <w:szCs w:val="18"/>
              </w:rPr>
              <w:t>その他のセクター</w:t>
            </w:r>
          </w:p>
        </w:tc>
        <w:tc>
          <w:tcPr>
            <w:tcW w:w="888" w:type="dxa"/>
            <w:tcBorders>
              <w:top w:val="nil"/>
              <w:left w:val="nil"/>
              <w:bottom w:val="dashed" w:sz="4" w:space="0" w:color="auto"/>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-31.1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32.5 </w:t>
            </w:r>
          </w:p>
        </w:tc>
        <w:tc>
          <w:tcPr>
            <w:tcW w:w="917"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23.0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-30.3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-13.2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-7.5 </w:t>
            </w:r>
          </w:p>
        </w:tc>
        <w:tc>
          <w:tcPr>
            <w:tcW w:w="888" w:type="dxa"/>
            <w:tcBorders>
              <w:top w:val="nil"/>
              <w:left w:val="nil"/>
              <w:bottom w:val="nil"/>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-27.1 </w:t>
            </w:r>
          </w:p>
        </w:tc>
      </w:tr>
      <w:tr w:rsidR="003311E3" w:rsidRPr="003D2124" w:rsidTr="0073089D">
        <w:trPr>
          <w:trHeight w:val="270"/>
        </w:trPr>
        <w:tc>
          <w:tcPr>
            <w:tcW w:w="2709" w:type="dxa"/>
            <w:tcBorders>
              <w:top w:val="nil"/>
              <w:left w:val="nil"/>
              <w:bottom w:val="dashed" w:sz="4" w:space="0" w:color="auto"/>
              <w:right w:val="single" w:sz="4" w:space="0" w:color="auto"/>
            </w:tcBorders>
            <w:shd w:val="clear" w:color="auto" w:fill="auto"/>
            <w:noWrap/>
            <w:vAlign w:val="center"/>
            <w:hideMark/>
          </w:tcPr>
          <w:p w:rsidR="003311E3" w:rsidRPr="003D2124" w:rsidRDefault="00006C84" w:rsidP="00006C84">
            <w:pPr>
              <w:widowControl/>
              <w:spacing w:after="0"/>
              <w:jc w:val="left"/>
              <w:rPr>
                <w:rFonts w:ascii="Times New Roman" w:eastAsia="ＭＳ Ｐゴシック" w:hAnsi="Times New Roman" w:cs="Times New Roman"/>
                <w:color w:val="000000"/>
                <w:kern w:val="0"/>
                <w:sz w:val="18"/>
                <w:szCs w:val="18"/>
              </w:rPr>
            </w:pPr>
            <w:r>
              <w:rPr>
                <w:rFonts w:ascii="Times New Roman" w:eastAsia="ＭＳ Ｐゴシック" w:hAnsi="Times New Roman" w:cs="Times New Roman" w:hint="eastAsia"/>
                <w:color w:val="000000"/>
                <w:kern w:val="0"/>
                <w:sz w:val="18"/>
                <w:szCs w:val="18"/>
              </w:rPr>
              <w:t>準備資産</w:t>
            </w:r>
          </w:p>
        </w:tc>
        <w:tc>
          <w:tcPr>
            <w:tcW w:w="888" w:type="dxa"/>
            <w:tcBorders>
              <w:top w:val="nil"/>
              <w:left w:val="nil"/>
              <w:bottom w:val="dashed" w:sz="4" w:space="0" w:color="auto"/>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-264.2 </w:t>
            </w:r>
          </w:p>
        </w:tc>
        <w:tc>
          <w:tcPr>
            <w:tcW w:w="888" w:type="dxa"/>
            <w:tcBorders>
              <w:top w:val="dashed" w:sz="4" w:space="0" w:color="auto"/>
              <w:left w:val="nil"/>
              <w:bottom w:val="dashed" w:sz="4" w:space="0" w:color="auto"/>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-255.9 </w:t>
            </w:r>
          </w:p>
        </w:tc>
        <w:tc>
          <w:tcPr>
            <w:tcW w:w="917" w:type="dxa"/>
            <w:tcBorders>
              <w:top w:val="dashed" w:sz="4" w:space="0" w:color="auto"/>
              <w:left w:val="nil"/>
              <w:bottom w:val="dashed" w:sz="4" w:space="0" w:color="auto"/>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-188.8 </w:t>
            </w:r>
          </w:p>
        </w:tc>
        <w:tc>
          <w:tcPr>
            <w:tcW w:w="888" w:type="dxa"/>
            <w:tcBorders>
              <w:top w:val="dashed" w:sz="4" w:space="0" w:color="auto"/>
              <w:left w:val="nil"/>
              <w:bottom w:val="dashed" w:sz="4" w:space="0" w:color="auto"/>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1,280.8 </w:t>
            </w:r>
          </w:p>
        </w:tc>
        <w:tc>
          <w:tcPr>
            <w:tcW w:w="888" w:type="dxa"/>
            <w:tcBorders>
              <w:top w:val="dashed" w:sz="4" w:space="0" w:color="auto"/>
              <w:left w:val="nil"/>
              <w:bottom w:val="dashed" w:sz="4" w:space="0" w:color="auto"/>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139.6 </w:t>
            </w:r>
          </w:p>
        </w:tc>
        <w:tc>
          <w:tcPr>
            <w:tcW w:w="888" w:type="dxa"/>
            <w:tcBorders>
              <w:top w:val="dashed" w:sz="4" w:space="0" w:color="auto"/>
              <w:left w:val="nil"/>
              <w:bottom w:val="dashed" w:sz="4" w:space="0" w:color="auto"/>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21.0 </w:t>
            </w:r>
          </w:p>
        </w:tc>
        <w:tc>
          <w:tcPr>
            <w:tcW w:w="888" w:type="dxa"/>
            <w:tcBorders>
              <w:top w:val="dashed" w:sz="4" w:space="0" w:color="auto"/>
              <w:left w:val="nil"/>
              <w:bottom w:val="dashed" w:sz="4" w:space="0" w:color="auto"/>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167.2 </w:t>
            </w:r>
          </w:p>
        </w:tc>
      </w:tr>
      <w:tr w:rsidR="003311E3" w:rsidRPr="003D2124" w:rsidTr="0073089D">
        <w:trPr>
          <w:trHeight w:val="285"/>
        </w:trPr>
        <w:tc>
          <w:tcPr>
            <w:tcW w:w="2709" w:type="dxa"/>
            <w:tcBorders>
              <w:top w:val="nil"/>
              <w:left w:val="nil"/>
              <w:bottom w:val="single" w:sz="8" w:space="0" w:color="auto"/>
              <w:right w:val="single" w:sz="4" w:space="0" w:color="auto"/>
            </w:tcBorders>
            <w:shd w:val="clear" w:color="auto" w:fill="auto"/>
            <w:noWrap/>
            <w:vAlign w:val="center"/>
            <w:hideMark/>
          </w:tcPr>
          <w:p w:rsidR="003311E3" w:rsidRPr="003D2124" w:rsidRDefault="00006C84" w:rsidP="00006C84">
            <w:pPr>
              <w:widowControl/>
              <w:spacing w:after="0"/>
              <w:jc w:val="left"/>
              <w:rPr>
                <w:rFonts w:ascii="Times New Roman" w:eastAsia="ＭＳ Ｐゴシック" w:hAnsi="Times New Roman" w:cs="Times New Roman"/>
                <w:color w:val="000000"/>
                <w:kern w:val="0"/>
                <w:sz w:val="18"/>
                <w:szCs w:val="18"/>
              </w:rPr>
            </w:pPr>
            <w:r>
              <w:rPr>
                <w:rFonts w:ascii="Times New Roman" w:eastAsia="ＭＳ Ｐゴシック" w:hAnsi="Times New Roman" w:cs="Times New Roman" w:hint="eastAsia"/>
                <w:color w:val="000000"/>
                <w:kern w:val="0"/>
                <w:sz w:val="18"/>
                <w:szCs w:val="18"/>
              </w:rPr>
              <w:t>誤差脱漏</w:t>
            </w:r>
          </w:p>
        </w:tc>
        <w:tc>
          <w:tcPr>
            <w:tcW w:w="888" w:type="dxa"/>
            <w:tcBorders>
              <w:top w:val="nil"/>
              <w:left w:val="nil"/>
              <w:bottom w:val="single" w:sz="8" w:space="0" w:color="auto"/>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150.0 </w:t>
            </w:r>
          </w:p>
        </w:tc>
        <w:tc>
          <w:tcPr>
            <w:tcW w:w="888" w:type="dxa"/>
            <w:tcBorders>
              <w:top w:val="nil"/>
              <w:left w:val="nil"/>
              <w:bottom w:val="single" w:sz="8" w:space="0" w:color="auto"/>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22.2 </w:t>
            </w:r>
          </w:p>
        </w:tc>
        <w:tc>
          <w:tcPr>
            <w:tcW w:w="917" w:type="dxa"/>
            <w:tcBorders>
              <w:top w:val="nil"/>
              <w:left w:val="nil"/>
              <w:bottom w:val="single" w:sz="8" w:space="0" w:color="auto"/>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-472.8 </w:t>
            </w:r>
          </w:p>
        </w:tc>
        <w:tc>
          <w:tcPr>
            <w:tcW w:w="888" w:type="dxa"/>
            <w:tcBorders>
              <w:top w:val="nil"/>
              <w:left w:val="nil"/>
              <w:bottom w:val="single" w:sz="8" w:space="0" w:color="auto"/>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-320.5 </w:t>
            </w:r>
          </w:p>
        </w:tc>
        <w:tc>
          <w:tcPr>
            <w:tcW w:w="888" w:type="dxa"/>
            <w:tcBorders>
              <w:top w:val="nil"/>
              <w:left w:val="nil"/>
              <w:bottom w:val="single" w:sz="8" w:space="0" w:color="auto"/>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-273.5 </w:t>
            </w:r>
          </w:p>
        </w:tc>
        <w:tc>
          <w:tcPr>
            <w:tcW w:w="888" w:type="dxa"/>
            <w:tcBorders>
              <w:top w:val="nil"/>
              <w:left w:val="nil"/>
              <w:bottom w:val="single" w:sz="8" w:space="0" w:color="auto"/>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-302.2 </w:t>
            </w:r>
          </w:p>
        </w:tc>
        <w:tc>
          <w:tcPr>
            <w:tcW w:w="888" w:type="dxa"/>
            <w:tcBorders>
              <w:top w:val="nil"/>
              <w:left w:val="nil"/>
              <w:bottom w:val="single" w:sz="8" w:space="0" w:color="auto"/>
              <w:right w:val="nil"/>
            </w:tcBorders>
            <w:shd w:val="clear" w:color="auto" w:fill="auto"/>
            <w:noWrap/>
            <w:vAlign w:val="center"/>
            <w:hideMark/>
          </w:tcPr>
          <w:p w:rsidR="003311E3" w:rsidRPr="003D2124" w:rsidRDefault="003311E3" w:rsidP="003311E3">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71.5 </w:t>
            </w:r>
          </w:p>
        </w:tc>
      </w:tr>
      <w:tr w:rsidR="003311E3" w:rsidRPr="003D2124" w:rsidTr="0073089D">
        <w:trPr>
          <w:trHeight w:val="270"/>
        </w:trPr>
        <w:tc>
          <w:tcPr>
            <w:tcW w:w="8954" w:type="dxa"/>
            <w:gridSpan w:val="8"/>
            <w:tcBorders>
              <w:top w:val="single" w:sz="8" w:space="0" w:color="auto"/>
              <w:left w:val="nil"/>
              <w:bottom w:val="nil"/>
              <w:right w:val="nil"/>
            </w:tcBorders>
            <w:shd w:val="clear" w:color="auto" w:fill="auto"/>
            <w:noWrap/>
            <w:vAlign w:val="center"/>
            <w:hideMark/>
          </w:tcPr>
          <w:p w:rsidR="003311E3" w:rsidRPr="003D2124" w:rsidRDefault="00006C84" w:rsidP="00006C84">
            <w:pPr>
              <w:widowControl/>
              <w:spacing w:after="0"/>
              <w:jc w:val="left"/>
              <w:rPr>
                <w:rFonts w:ascii="Times New Roman" w:eastAsia="ＭＳ Ｐゴシック" w:hAnsi="Times New Roman" w:cs="Times New Roman"/>
                <w:color w:val="000000"/>
                <w:kern w:val="0"/>
                <w:sz w:val="20"/>
                <w:szCs w:val="20"/>
              </w:rPr>
            </w:pPr>
            <w:r w:rsidRPr="005B5C82">
              <w:rPr>
                <w:rFonts w:asciiTheme="minorEastAsia" w:hAnsiTheme="minorEastAsia" w:cs="Times New Roman" w:hint="eastAsia"/>
                <w:color w:val="000000"/>
                <w:kern w:val="0"/>
                <w:sz w:val="20"/>
                <w:szCs w:val="20"/>
              </w:rPr>
              <w:t>出所：</w:t>
            </w:r>
            <w:r w:rsidR="003311E3" w:rsidRPr="003D2124">
              <w:rPr>
                <w:rFonts w:ascii="Times New Roman" w:eastAsia="ＭＳ Ｐゴシック" w:hAnsi="Times New Roman" w:cs="Times New Roman"/>
                <w:color w:val="000000"/>
                <w:kern w:val="0"/>
                <w:sz w:val="20"/>
                <w:szCs w:val="20"/>
              </w:rPr>
              <w:t xml:space="preserve"> Bank of Slovenia, </w:t>
            </w:r>
            <w:r w:rsidR="003311E3" w:rsidRPr="00006C84">
              <w:rPr>
                <w:rFonts w:ascii="Times New Roman" w:eastAsia="ＭＳ Ｐゴシック" w:hAnsi="Times New Roman" w:cs="Times New Roman"/>
                <w:i/>
                <w:color w:val="000000"/>
                <w:kern w:val="0"/>
                <w:sz w:val="20"/>
                <w:szCs w:val="20"/>
              </w:rPr>
              <w:t>Monthly Bulletin</w:t>
            </w:r>
            <w:r w:rsidR="003311E3" w:rsidRPr="003D2124">
              <w:rPr>
                <w:rFonts w:ascii="Times New Roman" w:eastAsia="ＭＳ Ｐゴシック" w:hAnsi="Times New Roman" w:cs="Times New Roman"/>
                <w:color w:val="000000"/>
                <w:kern w:val="0"/>
                <w:sz w:val="20"/>
                <w:szCs w:val="20"/>
              </w:rPr>
              <w:t>, February 2013, pp. 50-59.</w:t>
            </w:r>
          </w:p>
        </w:tc>
      </w:tr>
    </w:tbl>
    <w:p w:rsidR="0073089D" w:rsidRDefault="0073089D" w:rsidP="0073089D">
      <w:pPr>
        <w:rPr>
          <w:rFonts w:ascii="Times New Roman" w:hAnsi="Times New Roman" w:cs="Times New Roman"/>
        </w:rPr>
      </w:pPr>
    </w:p>
    <w:p w:rsidR="008E2B95" w:rsidRDefault="0073089D" w:rsidP="0073089D">
      <w:pPr>
        <w:rPr>
          <w:rFonts w:ascii="Times New Roman" w:hAnsi="Times New Roman" w:cs="Times New Roman"/>
        </w:rPr>
      </w:pPr>
      <w:r>
        <w:rPr>
          <w:rFonts w:ascii="Times New Roman" w:hAnsi="Times New Roman" w:cs="Times New Roman" w:hint="eastAsia"/>
        </w:rPr>
        <w:lastRenderedPageBreak/>
        <w:t>再び赤字になり、対</w:t>
      </w:r>
      <w:r>
        <w:rPr>
          <w:rFonts w:ascii="Times New Roman" w:hAnsi="Times New Roman" w:cs="Times New Roman" w:hint="eastAsia"/>
        </w:rPr>
        <w:t>GDP</w:t>
      </w:r>
      <w:r>
        <w:rPr>
          <w:rFonts w:ascii="Times New Roman" w:hAnsi="Times New Roman" w:cs="Times New Roman" w:hint="eastAsia"/>
        </w:rPr>
        <w:t>比</w:t>
      </w:r>
      <w:r>
        <w:rPr>
          <w:rFonts w:ascii="Times New Roman" w:hAnsi="Times New Roman" w:cs="Times New Roman" w:hint="eastAsia"/>
        </w:rPr>
        <w:t>1.9</w:t>
      </w:r>
      <w:r>
        <w:rPr>
          <w:rFonts w:ascii="Times New Roman" w:hAnsi="Times New Roman" w:cs="Times New Roman" w:hint="eastAsia"/>
        </w:rPr>
        <w:t>％を記録した。ところが、</w:t>
      </w:r>
      <w:r w:rsidRPr="003D2124">
        <w:rPr>
          <w:rFonts w:ascii="Times New Roman" w:hAnsi="Times New Roman" w:cs="Times New Roman"/>
        </w:rPr>
        <w:t>グロスの対外債務はそれを上回る速さで増加した。グロスの対外債務の対</w:t>
      </w:r>
      <w:r w:rsidRPr="003D2124">
        <w:rPr>
          <w:rFonts w:ascii="Times New Roman" w:hAnsi="Times New Roman" w:cs="Times New Roman"/>
        </w:rPr>
        <w:t>GDP</w:t>
      </w:r>
      <w:r w:rsidRPr="003D2124">
        <w:rPr>
          <w:rFonts w:ascii="Times New Roman" w:hAnsi="Times New Roman" w:cs="Times New Roman"/>
        </w:rPr>
        <w:t>は</w:t>
      </w:r>
      <w:r w:rsidRPr="003D2124">
        <w:rPr>
          <w:rFonts w:ascii="Times New Roman" w:hAnsi="Times New Roman" w:cs="Times New Roman"/>
        </w:rPr>
        <w:t>2003</w:t>
      </w:r>
      <w:r w:rsidRPr="003D2124">
        <w:rPr>
          <w:rFonts w:ascii="Times New Roman" w:hAnsi="Times New Roman" w:cs="Times New Roman"/>
        </w:rPr>
        <w:t>年における</w:t>
      </w:r>
      <w:r w:rsidRPr="003D2124">
        <w:rPr>
          <w:rFonts w:ascii="Times New Roman" w:hAnsi="Times New Roman" w:cs="Times New Roman"/>
        </w:rPr>
        <w:t>54.5%</w:t>
      </w:r>
      <w:r w:rsidRPr="003D2124">
        <w:rPr>
          <w:rFonts w:ascii="Times New Roman" w:hAnsi="Times New Roman" w:cs="Times New Roman"/>
        </w:rPr>
        <w:t>から</w:t>
      </w:r>
      <w:r w:rsidRPr="003D2124">
        <w:rPr>
          <w:rFonts w:ascii="Times New Roman" w:hAnsi="Times New Roman" w:cs="Times New Roman"/>
        </w:rPr>
        <w:t>2008</w:t>
      </w:r>
      <w:r w:rsidRPr="003D2124">
        <w:rPr>
          <w:rFonts w:ascii="Times New Roman" w:hAnsi="Times New Roman" w:cs="Times New Roman"/>
        </w:rPr>
        <w:t>年には</w:t>
      </w:r>
      <w:r w:rsidRPr="003D2124">
        <w:rPr>
          <w:rFonts w:ascii="Times New Roman" w:hAnsi="Times New Roman" w:cs="Times New Roman"/>
        </w:rPr>
        <w:t>105.3%</w:t>
      </w:r>
      <w:r w:rsidRPr="003D2124">
        <w:rPr>
          <w:rFonts w:ascii="Times New Roman" w:hAnsi="Times New Roman" w:cs="Times New Roman"/>
        </w:rPr>
        <w:t>に達した。これは一見謎だが、それを解く鍵は金融勘定にある。</w:t>
      </w:r>
      <w:r>
        <w:rPr>
          <w:rFonts w:ascii="Times New Roman" w:hAnsi="Times New Roman" w:cs="Times New Roman" w:hint="eastAsia"/>
        </w:rPr>
        <w:t>対外債権も増えていると同時にそれ以上に急速に対外債務が増加したのである。</w:t>
      </w:r>
    </w:p>
    <w:p w:rsidR="00292F95" w:rsidRPr="003D2124" w:rsidRDefault="00292F95" w:rsidP="00292F95">
      <w:pPr>
        <w:ind w:firstLineChars="100" w:firstLine="210"/>
        <w:rPr>
          <w:rFonts w:ascii="Times New Roman" w:hAnsi="Times New Roman" w:cs="Times New Roman"/>
        </w:rPr>
      </w:pPr>
      <w:r>
        <w:rPr>
          <w:rFonts w:ascii="Times New Roman" w:hAnsi="Times New Roman" w:cs="Times New Roman" w:hint="eastAsia"/>
        </w:rPr>
        <w:t>前述のように、スロヴェニア経済とユーロ圏経済との間の垣根は事実上なくなった。</w:t>
      </w:r>
      <w:r>
        <w:rPr>
          <w:rFonts w:ascii="Times New Roman" w:hAnsi="Times New Roman" w:cs="Times New Roman" w:hint="eastAsia"/>
        </w:rPr>
        <w:t>2007</w:t>
      </w:r>
      <w:r>
        <w:rPr>
          <w:rFonts w:ascii="Times New Roman" w:hAnsi="Times New Roman" w:cs="Times New Roman" w:hint="eastAsia"/>
        </w:rPr>
        <w:t>年には居住者による外国証券の購入や外国での預金という形での資金の流出が増えた。同時に、スロヴェニアの銀行国際ホールセール金融市場やユーロシステムで資金を取り入れた。国内の資金だけでは不足していたし、国内の民間セクターの強まる資金需要を満たすためでもあった。</w:t>
      </w:r>
      <w:r w:rsidRPr="003D2124">
        <w:rPr>
          <w:rFonts w:ascii="Times New Roman" w:hAnsi="Times New Roman" w:cs="Times New Roman"/>
        </w:rPr>
        <w:t>中央銀行の</w:t>
      </w:r>
      <w:r w:rsidRPr="003D2124">
        <w:rPr>
          <w:rFonts w:ascii="Times New Roman" w:hAnsi="Times New Roman" w:cs="Times New Roman"/>
        </w:rPr>
        <w:t>2008</w:t>
      </w:r>
      <w:r w:rsidRPr="003D2124">
        <w:rPr>
          <w:rFonts w:ascii="Times New Roman" w:hAnsi="Times New Roman" w:cs="Times New Roman"/>
        </w:rPr>
        <w:t>年度の年次報告書</w:t>
      </w:r>
      <w:r>
        <w:rPr>
          <w:rFonts w:ascii="Times New Roman" w:hAnsi="Times New Roman" w:cs="Times New Roman" w:hint="eastAsia"/>
        </w:rPr>
        <w:t>は次のように言う。</w:t>
      </w:r>
      <w:r w:rsidRPr="003D2124">
        <w:rPr>
          <w:rFonts w:ascii="Times New Roman" w:hAnsi="Times New Roman" w:cs="Times New Roman"/>
        </w:rPr>
        <w:t>「企業はほぼ全面的に銀行ローンを経由して資金調達するのに、家計の貯蓄のような国内貯蓄は一部しか銀行に行かない。銀行に向かわなかった貯蓄は外国のノン・バンク金融機関に向かい、それから銀行による外国での借入という形で戻る」（</w:t>
      </w:r>
      <w:r>
        <w:rPr>
          <w:rFonts w:ascii="Times New Roman" w:hAnsi="Times New Roman" w:cs="Times New Roman" w:hint="eastAsia"/>
        </w:rPr>
        <w:t>Bank of Slovenia</w:t>
      </w:r>
      <w:r w:rsidRPr="003D2124">
        <w:rPr>
          <w:rFonts w:ascii="Times New Roman" w:hAnsi="Times New Roman" w:cs="Times New Roman"/>
        </w:rPr>
        <w:t>, 2008, p. 7</w:t>
      </w:r>
      <w:r w:rsidRPr="003D2124">
        <w:rPr>
          <w:rFonts w:ascii="Times New Roman" w:hAnsi="Times New Roman" w:cs="Times New Roman"/>
        </w:rPr>
        <w:t>）。</w:t>
      </w:r>
    </w:p>
    <w:p w:rsidR="00292F95" w:rsidRPr="003D2124" w:rsidRDefault="00292F95" w:rsidP="00292F95">
      <w:pPr>
        <w:ind w:firstLineChars="100" w:firstLine="210"/>
        <w:rPr>
          <w:rFonts w:ascii="Times New Roman" w:hAnsi="Times New Roman" w:cs="Times New Roman"/>
        </w:rPr>
      </w:pPr>
      <w:r w:rsidRPr="003D2124">
        <w:rPr>
          <w:rFonts w:ascii="Times New Roman" w:hAnsi="Times New Roman" w:cs="Times New Roman"/>
        </w:rPr>
        <w:t>金融勘定のうち「その他投資」の負債の部を見ると、銀行の負債は</w:t>
      </w:r>
      <w:r w:rsidRPr="003D2124">
        <w:rPr>
          <w:rFonts w:ascii="Times New Roman" w:hAnsi="Times New Roman" w:cs="Times New Roman"/>
        </w:rPr>
        <w:t>2003</w:t>
      </w:r>
      <w:r w:rsidRPr="003D2124">
        <w:rPr>
          <w:rFonts w:ascii="Times New Roman" w:hAnsi="Times New Roman" w:cs="Times New Roman"/>
        </w:rPr>
        <w:t>年末における</w:t>
      </w:r>
      <w:r w:rsidRPr="003D2124">
        <w:rPr>
          <w:rFonts w:ascii="Times New Roman" w:hAnsi="Times New Roman" w:cs="Times New Roman"/>
        </w:rPr>
        <w:t>6</w:t>
      </w:r>
      <w:r w:rsidRPr="003D2124">
        <w:rPr>
          <w:rFonts w:ascii="Times New Roman" w:hAnsi="Times New Roman" w:cs="Times New Roman"/>
        </w:rPr>
        <w:t>億</w:t>
      </w:r>
      <w:r w:rsidRPr="003D2124">
        <w:rPr>
          <w:rFonts w:ascii="Times New Roman" w:hAnsi="Times New Roman" w:cs="Times New Roman"/>
        </w:rPr>
        <w:t>5970</w:t>
      </w:r>
      <w:r w:rsidRPr="003D2124">
        <w:rPr>
          <w:rFonts w:ascii="Times New Roman" w:hAnsi="Times New Roman" w:cs="Times New Roman"/>
        </w:rPr>
        <w:t>万ユーロから</w:t>
      </w:r>
      <w:r w:rsidRPr="003D2124">
        <w:rPr>
          <w:rFonts w:ascii="Times New Roman" w:hAnsi="Times New Roman" w:cs="Times New Roman"/>
        </w:rPr>
        <w:t>2007</w:t>
      </w:r>
      <w:r w:rsidRPr="003D2124">
        <w:rPr>
          <w:rFonts w:ascii="Times New Roman" w:hAnsi="Times New Roman" w:cs="Times New Roman"/>
        </w:rPr>
        <w:t>年末には</w:t>
      </w:r>
      <w:r w:rsidRPr="003D2124">
        <w:rPr>
          <w:rFonts w:ascii="Times New Roman" w:hAnsi="Times New Roman" w:cs="Times New Roman"/>
        </w:rPr>
        <w:t>33</w:t>
      </w:r>
      <w:r w:rsidRPr="003D2124">
        <w:rPr>
          <w:rFonts w:ascii="Times New Roman" w:hAnsi="Times New Roman" w:cs="Times New Roman"/>
        </w:rPr>
        <w:t>億</w:t>
      </w:r>
      <w:r w:rsidRPr="003D2124">
        <w:rPr>
          <w:rFonts w:ascii="Times New Roman" w:hAnsi="Times New Roman" w:cs="Times New Roman"/>
        </w:rPr>
        <w:t>5450</w:t>
      </w:r>
      <w:r w:rsidRPr="003D2124">
        <w:rPr>
          <w:rFonts w:ascii="Times New Roman" w:hAnsi="Times New Roman" w:cs="Times New Roman"/>
        </w:rPr>
        <w:t>万ユーロへと</w:t>
      </w:r>
      <w:r w:rsidRPr="003D2124">
        <w:rPr>
          <w:rFonts w:ascii="Times New Roman" w:hAnsi="Times New Roman" w:cs="Times New Roman"/>
        </w:rPr>
        <w:t>4</w:t>
      </w:r>
      <w:r w:rsidRPr="003D2124">
        <w:rPr>
          <w:rFonts w:ascii="Times New Roman" w:hAnsi="Times New Roman" w:cs="Times New Roman"/>
        </w:rPr>
        <w:t>年間に</w:t>
      </w:r>
      <w:r w:rsidRPr="003D2124">
        <w:rPr>
          <w:rFonts w:ascii="Times New Roman" w:hAnsi="Times New Roman" w:cs="Times New Roman"/>
        </w:rPr>
        <w:t>5</w:t>
      </w:r>
      <w:r w:rsidRPr="003D2124">
        <w:rPr>
          <w:rFonts w:ascii="Times New Roman" w:hAnsi="Times New Roman" w:cs="Times New Roman"/>
        </w:rPr>
        <w:t>倍強も増加</w:t>
      </w:r>
      <w:r>
        <w:rPr>
          <w:rFonts w:ascii="Times New Roman" w:hAnsi="Times New Roman" w:cs="Times New Roman" w:hint="eastAsia"/>
        </w:rPr>
        <w:t>した</w:t>
      </w:r>
      <w:r w:rsidRPr="003D2124">
        <w:rPr>
          <w:rFonts w:ascii="Times New Roman" w:hAnsi="Times New Roman" w:cs="Times New Roman"/>
        </w:rPr>
        <w:t>。同じく「その他の投資」の負債の部で、銀行の預金は</w:t>
      </w:r>
      <w:r w:rsidRPr="003D2124">
        <w:rPr>
          <w:rFonts w:ascii="Times New Roman" w:hAnsi="Times New Roman" w:cs="Times New Roman"/>
        </w:rPr>
        <w:t>2003</w:t>
      </w:r>
      <w:r w:rsidRPr="003D2124">
        <w:rPr>
          <w:rFonts w:ascii="Times New Roman" w:hAnsi="Times New Roman" w:cs="Times New Roman"/>
        </w:rPr>
        <w:t>年末における</w:t>
      </w:r>
      <w:r w:rsidRPr="003D2124">
        <w:rPr>
          <w:rFonts w:ascii="Times New Roman" w:hAnsi="Times New Roman" w:cs="Times New Roman"/>
        </w:rPr>
        <w:t>4</w:t>
      </w:r>
      <w:r w:rsidRPr="003D2124">
        <w:rPr>
          <w:rFonts w:ascii="Times New Roman" w:hAnsi="Times New Roman" w:cs="Times New Roman"/>
        </w:rPr>
        <w:t>億</w:t>
      </w:r>
      <w:r w:rsidRPr="003D2124">
        <w:rPr>
          <w:rFonts w:ascii="Times New Roman" w:hAnsi="Times New Roman" w:cs="Times New Roman"/>
        </w:rPr>
        <w:t>2820</w:t>
      </w:r>
      <w:r w:rsidRPr="003D2124">
        <w:rPr>
          <w:rFonts w:ascii="Times New Roman" w:hAnsi="Times New Roman" w:cs="Times New Roman"/>
        </w:rPr>
        <w:t>万ユーロから</w:t>
      </w:r>
      <w:r w:rsidRPr="003D2124">
        <w:rPr>
          <w:rFonts w:ascii="Times New Roman" w:hAnsi="Times New Roman" w:cs="Times New Roman"/>
        </w:rPr>
        <w:t>2007</w:t>
      </w:r>
      <w:r w:rsidRPr="003D2124">
        <w:rPr>
          <w:rFonts w:ascii="Times New Roman" w:hAnsi="Times New Roman" w:cs="Times New Roman"/>
        </w:rPr>
        <w:t>年末には</w:t>
      </w:r>
      <w:r w:rsidRPr="003D2124">
        <w:rPr>
          <w:rFonts w:ascii="Times New Roman" w:hAnsi="Times New Roman" w:cs="Times New Roman"/>
        </w:rPr>
        <w:t>11</w:t>
      </w:r>
      <w:r w:rsidRPr="003D2124">
        <w:rPr>
          <w:rFonts w:ascii="Times New Roman" w:hAnsi="Times New Roman" w:cs="Times New Roman"/>
        </w:rPr>
        <w:t>億</w:t>
      </w:r>
      <w:r w:rsidRPr="003D2124">
        <w:rPr>
          <w:rFonts w:ascii="Times New Roman" w:hAnsi="Times New Roman" w:cs="Times New Roman"/>
        </w:rPr>
        <w:t>8210</w:t>
      </w:r>
      <w:r w:rsidRPr="003D2124">
        <w:rPr>
          <w:rFonts w:ascii="Times New Roman" w:hAnsi="Times New Roman" w:cs="Times New Roman"/>
        </w:rPr>
        <w:t>万ユーロへと</w:t>
      </w:r>
      <w:r w:rsidRPr="003D2124">
        <w:rPr>
          <w:rFonts w:ascii="Times New Roman" w:hAnsi="Times New Roman" w:cs="Times New Roman"/>
        </w:rPr>
        <w:t>2.8</w:t>
      </w:r>
      <w:r w:rsidRPr="003D2124">
        <w:rPr>
          <w:rFonts w:ascii="Times New Roman" w:hAnsi="Times New Roman" w:cs="Times New Roman"/>
        </w:rPr>
        <w:t>倍も増加</w:t>
      </w:r>
      <w:r>
        <w:rPr>
          <w:rFonts w:ascii="Times New Roman" w:hAnsi="Times New Roman" w:cs="Times New Roman" w:hint="eastAsia"/>
        </w:rPr>
        <w:t>した</w:t>
      </w:r>
      <w:r w:rsidRPr="003D2124">
        <w:rPr>
          <w:rFonts w:ascii="Times New Roman" w:hAnsi="Times New Roman" w:cs="Times New Roman"/>
        </w:rPr>
        <w:t>。外国からのローンと非居住者の預金は合わせて</w:t>
      </w:r>
      <w:r w:rsidRPr="003D2124">
        <w:rPr>
          <w:rFonts w:ascii="Times New Roman" w:hAnsi="Times New Roman" w:cs="Times New Roman"/>
        </w:rPr>
        <w:t>2006</w:t>
      </w:r>
      <w:r w:rsidRPr="003D2124">
        <w:rPr>
          <w:rFonts w:ascii="Times New Roman" w:hAnsi="Times New Roman" w:cs="Times New Roman"/>
        </w:rPr>
        <w:t>年には約</w:t>
      </w:r>
      <w:r w:rsidRPr="003D2124">
        <w:rPr>
          <w:rFonts w:ascii="Times New Roman" w:hAnsi="Times New Roman" w:cs="Times New Roman"/>
        </w:rPr>
        <w:t>24</w:t>
      </w:r>
      <w:r w:rsidRPr="003D2124">
        <w:rPr>
          <w:rFonts w:ascii="Times New Roman" w:hAnsi="Times New Roman" w:cs="Times New Roman"/>
        </w:rPr>
        <w:t>億ユーロ、</w:t>
      </w:r>
      <w:r w:rsidRPr="003D2124">
        <w:rPr>
          <w:rFonts w:ascii="Times New Roman" w:hAnsi="Times New Roman" w:cs="Times New Roman"/>
        </w:rPr>
        <w:t>2007</w:t>
      </w:r>
      <w:r w:rsidRPr="003D2124">
        <w:rPr>
          <w:rFonts w:ascii="Times New Roman" w:hAnsi="Times New Roman" w:cs="Times New Roman"/>
        </w:rPr>
        <w:t>年には約</w:t>
      </w:r>
      <w:r w:rsidRPr="003D2124">
        <w:rPr>
          <w:rFonts w:ascii="Times New Roman" w:hAnsi="Times New Roman" w:cs="Times New Roman"/>
        </w:rPr>
        <w:t>45</w:t>
      </w:r>
      <w:r>
        <w:rPr>
          <w:rFonts w:ascii="Times New Roman" w:hAnsi="Times New Roman" w:cs="Times New Roman"/>
        </w:rPr>
        <w:t>億ユーロにのぼ</w:t>
      </w:r>
      <w:r>
        <w:rPr>
          <w:rFonts w:ascii="Times New Roman" w:hAnsi="Times New Roman" w:cs="Times New Roman" w:hint="eastAsia"/>
        </w:rPr>
        <w:t>った</w:t>
      </w:r>
      <w:r w:rsidRPr="003D2124">
        <w:rPr>
          <w:rFonts w:ascii="Times New Roman" w:hAnsi="Times New Roman" w:cs="Times New Roman"/>
        </w:rPr>
        <w:t>。国内の民間セクターへの銀行の信用供与は</w:t>
      </w:r>
      <w:r w:rsidRPr="003D2124">
        <w:rPr>
          <w:rFonts w:ascii="Times New Roman" w:hAnsi="Times New Roman" w:cs="Times New Roman"/>
        </w:rPr>
        <w:t>2006</w:t>
      </w:r>
      <w:r w:rsidRPr="003D2124">
        <w:rPr>
          <w:rFonts w:ascii="Times New Roman" w:hAnsi="Times New Roman" w:cs="Times New Roman"/>
        </w:rPr>
        <w:t>年には約</w:t>
      </w:r>
      <w:r w:rsidRPr="003D2124">
        <w:rPr>
          <w:rFonts w:ascii="Times New Roman" w:hAnsi="Times New Roman" w:cs="Times New Roman"/>
        </w:rPr>
        <w:t>42</w:t>
      </w:r>
      <w:r w:rsidRPr="003D2124">
        <w:rPr>
          <w:rFonts w:ascii="Times New Roman" w:hAnsi="Times New Roman" w:cs="Times New Roman"/>
        </w:rPr>
        <w:t>億ユーロ、</w:t>
      </w:r>
      <w:r w:rsidRPr="003D2124">
        <w:rPr>
          <w:rFonts w:ascii="Times New Roman" w:hAnsi="Times New Roman" w:cs="Times New Roman"/>
        </w:rPr>
        <w:t>2007</w:t>
      </w:r>
      <w:r w:rsidRPr="003D2124">
        <w:rPr>
          <w:rFonts w:ascii="Times New Roman" w:hAnsi="Times New Roman" w:cs="Times New Roman"/>
        </w:rPr>
        <w:t>年には約</w:t>
      </w:r>
      <w:r w:rsidRPr="003D2124">
        <w:rPr>
          <w:rFonts w:ascii="Times New Roman" w:hAnsi="Times New Roman" w:cs="Times New Roman"/>
        </w:rPr>
        <w:t>68</w:t>
      </w:r>
      <w:r w:rsidRPr="003D2124">
        <w:rPr>
          <w:rFonts w:ascii="Times New Roman" w:hAnsi="Times New Roman" w:cs="Times New Roman"/>
        </w:rPr>
        <w:t>億ユーロであったので、</w:t>
      </w:r>
      <w:r w:rsidRPr="003D2124">
        <w:rPr>
          <w:rFonts w:ascii="Times New Roman" w:hAnsi="Times New Roman" w:cs="Times New Roman"/>
        </w:rPr>
        <w:t>2006</w:t>
      </w:r>
      <w:r w:rsidRPr="003D2124">
        <w:rPr>
          <w:rFonts w:ascii="Times New Roman" w:hAnsi="Times New Roman" w:cs="Times New Roman"/>
        </w:rPr>
        <w:t>年には銀行はそれの半分以上を、そして</w:t>
      </w:r>
      <w:r w:rsidRPr="003D2124">
        <w:rPr>
          <w:rFonts w:ascii="Times New Roman" w:hAnsi="Times New Roman" w:cs="Times New Roman"/>
        </w:rPr>
        <w:t>2007</w:t>
      </w:r>
      <w:r w:rsidRPr="003D2124">
        <w:rPr>
          <w:rFonts w:ascii="Times New Roman" w:hAnsi="Times New Roman" w:cs="Times New Roman"/>
        </w:rPr>
        <w:t>年には</w:t>
      </w:r>
      <w:r w:rsidRPr="003D2124">
        <w:rPr>
          <w:rFonts w:ascii="Times New Roman" w:hAnsi="Times New Roman" w:cs="Times New Roman"/>
        </w:rPr>
        <w:t>3</w:t>
      </w:r>
      <w:r w:rsidRPr="003D2124">
        <w:rPr>
          <w:rFonts w:ascii="Times New Roman" w:hAnsi="Times New Roman" w:cs="Times New Roman"/>
        </w:rPr>
        <w:t>分の</w:t>
      </w:r>
      <w:r w:rsidRPr="003D2124">
        <w:rPr>
          <w:rFonts w:ascii="Times New Roman" w:hAnsi="Times New Roman" w:cs="Times New Roman"/>
        </w:rPr>
        <w:t>2</w:t>
      </w:r>
      <w:r w:rsidRPr="003D2124">
        <w:rPr>
          <w:rFonts w:ascii="Times New Roman" w:hAnsi="Times New Roman" w:cs="Times New Roman"/>
        </w:rPr>
        <w:t>を外国からの借入れでまかなったことになる</w:t>
      </w:r>
      <w:r>
        <w:rPr>
          <w:rFonts w:ascii="Times New Roman" w:hAnsi="Times New Roman" w:cs="Times New Roman" w:hint="eastAsia"/>
        </w:rPr>
        <w:t>（</w:t>
      </w:r>
      <w:r>
        <w:rPr>
          <w:rFonts w:ascii="Times New Roman" w:hAnsi="Times New Roman" w:cs="Times New Roman" w:hint="eastAsia"/>
        </w:rPr>
        <w:t>Bank of Slovenia, 2007, p. 35</w:t>
      </w:r>
      <w:r>
        <w:rPr>
          <w:rFonts w:ascii="Times New Roman" w:hAnsi="Times New Roman" w:cs="Times New Roman" w:hint="eastAsia"/>
        </w:rPr>
        <w:t>）</w:t>
      </w:r>
      <w:r w:rsidRPr="003D2124">
        <w:rPr>
          <w:rFonts w:ascii="Times New Roman" w:hAnsi="Times New Roman" w:cs="Times New Roman"/>
        </w:rPr>
        <w:t>。銀行の外国からの借り入れは</w:t>
      </w:r>
      <w:r w:rsidRPr="003D2124">
        <w:rPr>
          <w:rFonts w:ascii="Times New Roman" w:hAnsi="Times New Roman" w:cs="Times New Roman"/>
        </w:rPr>
        <w:t>2007</w:t>
      </w:r>
      <w:r w:rsidRPr="003D2124">
        <w:rPr>
          <w:rFonts w:ascii="Times New Roman" w:hAnsi="Times New Roman" w:cs="Times New Roman"/>
        </w:rPr>
        <w:t>年には</w:t>
      </w:r>
      <w:r w:rsidRPr="003D2124">
        <w:rPr>
          <w:rFonts w:ascii="Times New Roman" w:hAnsi="Times New Roman" w:cs="Times New Roman"/>
        </w:rPr>
        <w:t>GDP</w:t>
      </w:r>
      <w:r w:rsidRPr="003D2124">
        <w:rPr>
          <w:rFonts w:ascii="Times New Roman" w:hAnsi="Times New Roman" w:cs="Times New Roman"/>
        </w:rPr>
        <w:t>の</w:t>
      </w:r>
      <w:r w:rsidRPr="003D2124">
        <w:rPr>
          <w:rFonts w:ascii="Times New Roman" w:hAnsi="Times New Roman" w:cs="Times New Roman"/>
        </w:rPr>
        <w:t>12%</w:t>
      </w:r>
      <w:r w:rsidRPr="003D2124">
        <w:rPr>
          <w:rFonts w:ascii="Times New Roman" w:hAnsi="Times New Roman" w:cs="Times New Roman"/>
        </w:rPr>
        <w:t>にのぼった（</w:t>
      </w:r>
      <w:proofErr w:type="spellStart"/>
      <w:r w:rsidRPr="003D2124">
        <w:rPr>
          <w:rFonts w:ascii="Times New Roman" w:hAnsi="Times New Roman" w:cs="Times New Roman"/>
        </w:rPr>
        <w:t>Mencinger</w:t>
      </w:r>
      <w:proofErr w:type="spellEnd"/>
      <w:r w:rsidRPr="003D2124">
        <w:rPr>
          <w:rFonts w:ascii="Times New Roman" w:hAnsi="Times New Roman" w:cs="Times New Roman"/>
        </w:rPr>
        <w:t>, 2013</w:t>
      </w:r>
      <w:r w:rsidRPr="003D2124">
        <w:rPr>
          <w:rFonts w:ascii="Times New Roman" w:hAnsi="Times New Roman" w:cs="Times New Roman"/>
        </w:rPr>
        <w:t>）。</w:t>
      </w:r>
    </w:p>
    <w:p w:rsidR="008E2B95" w:rsidRPr="003D2124" w:rsidRDefault="008E2B95" w:rsidP="00A722C2">
      <w:pPr>
        <w:ind w:firstLineChars="100" w:firstLine="210"/>
        <w:rPr>
          <w:rFonts w:ascii="Times New Roman" w:hAnsi="Times New Roman" w:cs="Times New Roman"/>
        </w:rPr>
      </w:pPr>
      <w:r w:rsidRPr="003D2124">
        <w:rPr>
          <w:rFonts w:ascii="Times New Roman" w:hAnsi="Times New Roman" w:cs="Times New Roman"/>
        </w:rPr>
        <w:t>2008</w:t>
      </w:r>
      <w:r w:rsidRPr="003D2124">
        <w:rPr>
          <w:rFonts w:ascii="Times New Roman" w:hAnsi="Times New Roman" w:cs="Times New Roman"/>
        </w:rPr>
        <w:t>年のリーマン・ショック以後は、国際的な資金の流れは逆転</w:t>
      </w:r>
      <w:r w:rsidR="0099600D">
        <w:rPr>
          <w:rFonts w:ascii="Times New Roman" w:hAnsi="Times New Roman" w:cs="Times New Roman" w:hint="eastAsia"/>
        </w:rPr>
        <w:t>する</w:t>
      </w:r>
      <w:r w:rsidRPr="003D2124">
        <w:rPr>
          <w:rFonts w:ascii="Times New Roman" w:hAnsi="Times New Roman" w:cs="Times New Roman"/>
        </w:rPr>
        <w:t>。国際収支表の金融勘定のうち「その他投資」の負債の部では、商業銀行へのローンは、</w:t>
      </w:r>
      <w:r w:rsidRPr="003D2124">
        <w:rPr>
          <w:rFonts w:ascii="Times New Roman" w:hAnsi="Times New Roman" w:cs="Times New Roman"/>
        </w:rPr>
        <w:t>2008</w:t>
      </w:r>
      <w:r w:rsidRPr="003D2124">
        <w:rPr>
          <w:rFonts w:ascii="Times New Roman" w:hAnsi="Times New Roman" w:cs="Times New Roman"/>
        </w:rPr>
        <w:t>年をトータルして見ると、プラスであるが、</w:t>
      </w:r>
      <w:r w:rsidRPr="003D2124">
        <w:rPr>
          <w:rFonts w:ascii="Times New Roman" w:hAnsi="Times New Roman" w:cs="Times New Roman"/>
        </w:rPr>
        <w:t>2007</w:t>
      </w:r>
      <w:r w:rsidRPr="003D2124">
        <w:rPr>
          <w:rFonts w:ascii="Times New Roman" w:hAnsi="Times New Roman" w:cs="Times New Roman"/>
        </w:rPr>
        <w:t>年と比べると激減。</w:t>
      </w:r>
      <w:r w:rsidR="0099600D">
        <w:rPr>
          <w:rFonts w:ascii="Times New Roman" w:hAnsi="Times New Roman" w:cs="Times New Roman" w:hint="eastAsia"/>
        </w:rPr>
        <w:t>商業銀行によるローンの返済はその後も続き、外国への還流の額は</w:t>
      </w:r>
      <w:r w:rsidRPr="003D2124">
        <w:rPr>
          <w:rFonts w:ascii="Times New Roman" w:hAnsi="Times New Roman" w:cs="Times New Roman"/>
        </w:rPr>
        <w:t>2009</w:t>
      </w:r>
      <w:r w:rsidRPr="003D2124">
        <w:rPr>
          <w:rFonts w:ascii="Times New Roman" w:hAnsi="Times New Roman" w:cs="Times New Roman"/>
        </w:rPr>
        <w:t>年には</w:t>
      </w:r>
      <w:r w:rsidRPr="003D2124">
        <w:rPr>
          <w:rFonts w:ascii="Times New Roman" w:hAnsi="Times New Roman" w:cs="Times New Roman"/>
        </w:rPr>
        <w:t>29</w:t>
      </w:r>
      <w:r w:rsidRPr="003D2124">
        <w:rPr>
          <w:rFonts w:ascii="Times New Roman" w:hAnsi="Times New Roman" w:cs="Times New Roman"/>
        </w:rPr>
        <w:t>億</w:t>
      </w:r>
      <w:r w:rsidRPr="003D2124">
        <w:rPr>
          <w:rFonts w:ascii="Times New Roman" w:hAnsi="Times New Roman" w:cs="Times New Roman"/>
        </w:rPr>
        <w:t>6000</w:t>
      </w:r>
      <w:r w:rsidRPr="003D2124">
        <w:rPr>
          <w:rFonts w:ascii="Times New Roman" w:hAnsi="Times New Roman" w:cs="Times New Roman"/>
        </w:rPr>
        <w:t>万ユーロ</w:t>
      </w:r>
      <w:r w:rsidR="0099600D">
        <w:rPr>
          <w:rFonts w:ascii="Times New Roman" w:hAnsi="Times New Roman" w:cs="Times New Roman" w:hint="eastAsia"/>
        </w:rPr>
        <w:t>、</w:t>
      </w:r>
      <w:r w:rsidR="0099600D">
        <w:rPr>
          <w:rFonts w:ascii="Times New Roman" w:hAnsi="Times New Roman" w:cs="Times New Roman" w:hint="eastAsia"/>
        </w:rPr>
        <w:t>2010</w:t>
      </w:r>
      <w:r w:rsidR="0099600D">
        <w:rPr>
          <w:rFonts w:ascii="Times New Roman" w:hAnsi="Times New Roman" w:cs="Times New Roman" w:hint="eastAsia"/>
        </w:rPr>
        <w:t>年には</w:t>
      </w:r>
      <w:r w:rsidR="0099600D">
        <w:rPr>
          <w:rFonts w:ascii="Times New Roman" w:hAnsi="Times New Roman" w:cs="Times New Roman" w:hint="eastAsia"/>
        </w:rPr>
        <w:t>7</w:t>
      </w:r>
      <w:r w:rsidR="0099600D">
        <w:rPr>
          <w:rFonts w:ascii="Times New Roman" w:hAnsi="Times New Roman" w:cs="Times New Roman" w:hint="eastAsia"/>
        </w:rPr>
        <w:t>億</w:t>
      </w:r>
      <w:r w:rsidR="0099600D">
        <w:rPr>
          <w:rFonts w:ascii="Times New Roman" w:hAnsi="Times New Roman" w:cs="Times New Roman" w:hint="eastAsia"/>
        </w:rPr>
        <w:t>3000</w:t>
      </w:r>
      <w:r w:rsidR="0099600D">
        <w:rPr>
          <w:rFonts w:ascii="Times New Roman" w:hAnsi="Times New Roman" w:cs="Times New Roman" w:hint="eastAsia"/>
        </w:rPr>
        <w:t>万ユーロ、</w:t>
      </w:r>
      <w:r w:rsidR="0099600D">
        <w:rPr>
          <w:rFonts w:ascii="Times New Roman" w:hAnsi="Times New Roman" w:cs="Times New Roman" w:hint="eastAsia"/>
        </w:rPr>
        <w:t>2011</w:t>
      </w:r>
      <w:r w:rsidR="0099600D">
        <w:rPr>
          <w:rFonts w:ascii="Times New Roman" w:hAnsi="Times New Roman" w:cs="Times New Roman" w:hint="eastAsia"/>
        </w:rPr>
        <w:t>年には</w:t>
      </w:r>
      <w:r w:rsidR="0099600D">
        <w:rPr>
          <w:rFonts w:ascii="Times New Roman" w:hAnsi="Times New Roman" w:cs="Times New Roman" w:hint="eastAsia"/>
        </w:rPr>
        <w:t>14</w:t>
      </w:r>
      <w:r w:rsidR="0099600D">
        <w:rPr>
          <w:rFonts w:ascii="Times New Roman" w:hAnsi="Times New Roman" w:cs="Times New Roman" w:hint="eastAsia"/>
        </w:rPr>
        <w:t>億</w:t>
      </w:r>
      <w:r w:rsidR="00A722C2">
        <w:rPr>
          <w:rFonts w:ascii="Times New Roman" w:hAnsi="Times New Roman" w:cs="Times New Roman" w:hint="eastAsia"/>
        </w:rPr>
        <w:t>6000</w:t>
      </w:r>
      <w:r w:rsidR="00A722C2">
        <w:rPr>
          <w:rFonts w:ascii="Times New Roman" w:hAnsi="Times New Roman" w:cs="Times New Roman" w:hint="eastAsia"/>
        </w:rPr>
        <w:t>万ユーロ、</w:t>
      </w:r>
      <w:r w:rsidR="00A722C2">
        <w:rPr>
          <w:rFonts w:ascii="Times New Roman" w:hAnsi="Times New Roman" w:cs="Times New Roman" w:hint="eastAsia"/>
        </w:rPr>
        <w:t>2012</w:t>
      </w:r>
      <w:r w:rsidR="00A722C2">
        <w:rPr>
          <w:rFonts w:ascii="Times New Roman" w:hAnsi="Times New Roman" w:cs="Times New Roman" w:hint="eastAsia"/>
        </w:rPr>
        <w:t>年には</w:t>
      </w:r>
      <w:r w:rsidR="00A722C2">
        <w:rPr>
          <w:rFonts w:ascii="Times New Roman" w:hAnsi="Times New Roman" w:cs="Times New Roman" w:hint="eastAsia"/>
        </w:rPr>
        <w:t>12</w:t>
      </w:r>
      <w:r w:rsidR="00A722C2">
        <w:rPr>
          <w:rFonts w:ascii="Times New Roman" w:hAnsi="Times New Roman" w:cs="Times New Roman" w:hint="eastAsia"/>
        </w:rPr>
        <w:t>億</w:t>
      </w:r>
      <w:r w:rsidR="00A722C2">
        <w:rPr>
          <w:rFonts w:ascii="Times New Roman" w:hAnsi="Times New Roman" w:cs="Times New Roman" w:hint="eastAsia"/>
        </w:rPr>
        <w:t>9000</w:t>
      </w:r>
      <w:r w:rsidR="00A722C2">
        <w:rPr>
          <w:rFonts w:ascii="Times New Roman" w:hAnsi="Times New Roman" w:cs="Times New Roman" w:hint="eastAsia"/>
        </w:rPr>
        <w:t>万ユーロであった。</w:t>
      </w:r>
      <w:r w:rsidRPr="003D2124">
        <w:rPr>
          <w:rFonts w:ascii="Times New Roman" w:hAnsi="Times New Roman" w:cs="Times New Roman"/>
        </w:rPr>
        <w:t>商業銀行への</w:t>
      </w:r>
      <w:r w:rsidR="00A722C2">
        <w:rPr>
          <w:rFonts w:ascii="Times New Roman" w:hAnsi="Times New Roman" w:cs="Times New Roman" w:hint="eastAsia"/>
        </w:rPr>
        <w:t>非居住者による</w:t>
      </w:r>
      <w:r w:rsidRPr="003D2124">
        <w:rPr>
          <w:rFonts w:ascii="Times New Roman" w:hAnsi="Times New Roman" w:cs="Times New Roman"/>
        </w:rPr>
        <w:t>預金も</w:t>
      </w:r>
      <w:r w:rsidRPr="003D2124">
        <w:rPr>
          <w:rFonts w:ascii="Times New Roman" w:hAnsi="Times New Roman" w:cs="Times New Roman"/>
        </w:rPr>
        <w:t>2008</w:t>
      </w:r>
      <w:r w:rsidRPr="003D2124">
        <w:rPr>
          <w:rFonts w:ascii="Times New Roman" w:hAnsi="Times New Roman" w:cs="Times New Roman"/>
        </w:rPr>
        <w:t>年には激減し、</w:t>
      </w:r>
      <w:r w:rsidRPr="003D2124">
        <w:rPr>
          <w:rFonts w:ascii="Times New Roman" w:hAnsi="Times New Roman" w:cs="Times New Roman"/>
        </w:rPr>
        <w:t>2009</w:t>
      </w:r>
      <w:r w:rsidR="00A722C2">
        <w:rPr>
          <w:rFonts w:ascii="Times New Roman" w:hAnsi="Times New Roman" w:cs="Times New Roman"/>
        </w:rPr>
        <w:t>年にはマイナスに転じ</w:t>
      </w:r>
      <w:r w:rsidR="00A722C2">
        <w:rPr>
          <w:rFonts w:ascii="Times New Roman" w:hAnsi="Times New Roman" w:cs="Times New Roman" w:hint="eastAsia"/>
        </w:rPr>
        <w:t>、この年の減少額は</w:t>
      </w:r>
      <w:r w:rsidR="00A722C2">
        <w:rPr>
          <w:rFonts w:ascii="Times New Roman" w:hAnsi="Times New Roman" w:cs="Times New Roman" w:hint="eastAsia"/>
        </w:rPr>
        <w:t>7500</w:t>
      </w:r>
      <w:r w:rsidR="00A722C2">
        <w:rPr>
          <w:rFonts w:ascii="Times New Roman" w:hAnsi="Times New Roman" w:cs="Times New Roman" w:hint="eastAsia"/>
        </w:rPr>
        <w:t>万ユーロ、</w:t>
      </w:r>
      <w:r w:rsidR="00A722C2">
        <w:rPr>
          <w:rFonts w:ascii="Times New Roman" w:hAnsi="Times New Roman" w:cs="Times New Roman" w:hint="eastAsia"/>
        </w:rPr>
        <w:t>2010</w:t>
      </w:r>
      <w:r w:rsidR="00A722C2">
        <w:rPr>
          <w:rFonts w:ascii="Times New Roman" w:hAnsi="Times New Roman" w:cs="Times New Roman" w:hint="eastAsia"/>
        </w:rPr>
        <w:t>年には</w:t>
      </w:r>
      <w:r w:rsidR="00A722C2">
        <w:rPr>
          <w:rFonts w:ascii="Times New Roman" w:hAnsi="Times New Roman" w:cs="Times New Roman" w:hint="eastAsia"/>
        </w:rPr>
        <w:t>7</w:t>
      </w:r>
      <w:r w:rsidR="00A722C2">
        <w:rPr>
          <w:rFonts w:ascii="Times New Roman" w:hAnsi="Times New Roman" w:cs="Times New Roman" w:hint="eastAsia"/>
        </w:rPr>
        <w:t>億</w:t>
      </w:r>
      <w:r w:rsidR="00A722C2">
        <w:rPr>
          <w:rFonts w:ascii="Times New Roman" w:hAnsi="Times New Roman" w:cs="Times New Roman" w:hint="eastAsia"/>
        </w:rPr>
        <w:t>2000</w:t>
      </w:r>
      <w:r w:rsidR="00A722C2">
        <w:rPr>
          <w:rFonts w:ascii="Times New Roman" w:hAnsi="Times New Roman" w:cs="Times New Roman" w:hint="eastAsia"/>
        </w:rPr>
        <w:t>万ユーロ、</w:t>
      </w:r>
      <w:r w:rsidR="00A722C2">
        <w:rPr>
          <w:rFonts w:ascii="Times New Roman" w:hAnsi="Times New Roman" w:cs="Times New Roman" w:hint="eastAsia"/>
        </w:rPr>
        <w:t>2011</w:t>
      </w:r>
      <w:r w:rsidR="00A722C2">
        <w:rPr>
          <w:rFonts w:ascii="Times New Roman" w:hAnsi="Times New Roman" w:cs="Times New Roman" w:hint="eastAsia"/>
        </w:rPr>
        <w:t>年には</w:t>
      </w:r>
      <w:r w:rsidR="00A722C2">
        <w:rPr>
          <w:rFonts w:ascii="Times New Roman" w:hAnsi="Times New Roman" w:cs="Times New Roman" w:hint="eastAsia"/>
        </w:rPr>
        <w:t>8</w:t>
      </w:r>
      <w:r w:rsidR="00A722C2">
        <w:rPr>
          <w:rFonts w:ascii="Times New Roman" w:hAnsi="Times New Roman" w:cs="Times New Roman" w:hint="eastAsia"/>
        </w:rPr>
        <w:t>億ユーロ、</w:t>
      </w:r>
      <w:r w:rsidR="00A722C2">
        <w:rPr>
          <w:rFonts w:ascii="Times New Roman" w:hAnsi="Times New Roman" w:cs="Times New Roman" w:hint="eastAsia"/>
        </w:rPr>
        <w:t>2012</w:t>
      </w:r>
      <w:r w:rsidR="00A722C2">
        <w:rPr>
          <w:rFonts w:ascii="Times New Roman" w:hAnsi="Times New Roman" w:cs="Times New Roman" w:hint="eastAsia"/>
        </w:rPr>
        <w:t>年位は</w:t>
      </w:r>
      <w:r w:rsidR="00A722C2">
        <w:rPr>
          <w:rFonts w:ascii="Times New Roman" w:hAnsi="Times New Roman" w:cs="Times New Roman" w:hint="eastAsia"/>
        </w:rPr>
        <w:t>6</w:t>
      </w:r>
      <w:r w:rsidR="00A722C2">
        <w:rPr>
          <w:rFonts w:ascii="Times New Roman" w:hAnsi="Times New Roman" w:cs="Times New Roman" w:hint="eastAsia"/>
        </w:rPr>
        <w:t>億</w:t>
      </w:r>
      <w:r w:rsidR="00A722C2">
        <w:rPr>
          <w:rFonts w:ascii="Times New Roman" w:hAnsi="Times New Roman" w:cs="Times New Roman" w:hint="eastAsia"/>
        </w:rPr>
        <w:t>7000</w:t>
      </w:r>
      <w:r w:rsidR="00A722C2">
        <w:rPr>
          <w:rFonts w:ascii="Times New Roman" w:hAnsi="Times New Roman" w:cs="Times New Roman" w:hint="eastAsia"/>
        </w:rPr>
        <w:t>万ユーロであった。</w:t>
      </w:r>
      <w:r w:rsidRPr="003D2124">
        <w:rPr>
          <w:rFonts w:ascii="Times New Roman" w:hAnsi="Times New Roman" w:cs="Times New Roman"/>
        </w:rPr>
        <w:t>IMF</w:t>
      </w:r>
      <w:r w:rsidRPr="003D2124">
        <w:rPr>
          <w:rFonts w:ascii="Times New Roman" w:hAnsi="Times New Roman" w:cs="Times New Roman"/>
        </w:rPr>
        <w:t>のカントリー・レポート</w:t>
      </w:r>
      <w:r w:rsidR="00A722C2">
        <w:rPr>
          <w:rFonts w:ascii="Times New Roman" w:hAnsi="Times New Roman" w:cs="Times New Roman" w:hint="eastAsia"/>
        </w:rPr>
        <w:t>は、</w:t>
      </w:r>
      <w:r w:rsidRPr="003D2124">
        <w:rPr>
          <w:rFonts w:ascii="Times New Roman" w:hAnsi="Times New Roman" w:cs="Times New Roman"/>
        </w:rPr>
        <w:t>グローバル危機が始まって以来</w:t>
      </w:r>
      <w:r w:rsidRPr="003D2124">
        <w:rPr>
          <w:rFonts w:ascii="Times New Roman" w:hAnsi="Times New Roman" w:cs="Times New Roman"/>
        </w:rPr>
        <w:t>2012</w:t>
      </w:r>
      <w:r w:rsidRPr="003D2124">
        <w:rPr>
          <w:rFonts w:ascii="Times New Roman" w:hAnsi="Times New Roman" w:cs="Times New Roman"/>
        </w:rPr>
        <w:t>年末までの約</w:t>
      </w:r>
      <w:r w:rsidRPr="003D2124">
        <w:rPr>
          <w:rFonts w:ascii="Times New Roman" w:hAnsi="Times New Roman" w:cs="Times New Roman"/>
        </w:rPr>
        <w:t>4</w:t>
      </w:r>
      <w:r w:rsidRPr="003D2124">
        <w:rPr>
          <w:rFonts w:ascii="Times New Roman" w:hAnsi="Times New Roman" w:cs="Times New Roman"/>
        </w:rPr>
        <w:t>年間に、外国の銀行はスロヴェニアの銀行への純エクスポージャー（貸付け）を約</w:t>
      </w:r>
      <w:r w:rsidRPr="003D2124">
        <w:rPr>
          <w:rFonts w:ascii="Times New Roman" w:hAnsi="Times New Roman" w:cs="Times New Roman"/>
        </w:rPr>
        <w:t>96</w:t>
      </w:r>
      <w:r w:rsidRPr="003D2124">
        <w:rPr>
          <w:rFonts w:ascii="Times New Roman" w:hAnsi="Times New Roman" w:cs="Times New Roman"/>
        </w:rPr>
        <w:t>億ドル（</w:t>
      </w:r>
      <w:r w:rsidRPr="003D2124">
        <w:rPr>
          <w:rFonts w:ascii="Times New Roman" w:hAnsi="Times New Roman" w:cs="Times New Roman"/>
        </w:rPr>
        <w:t>2012</w:t>
      </w:r>
      <w:r w:rsidRPr="003D2124">
        <w:rPr>
          <w:rFonts w:ascii="Times New Roman" w:hAnsi="Times New Roman" w:cs="Times New Roman"/>
        </w:rPr>
        <w:t>年の</w:t>
      </w:r>
      <w:r w:rsidRPr="003D2124">
        <w:rPr>
          <w:rFonts w:ascii="Times New Roman" w:hAnsi="Times New Roman" w:cs="Times New Roman"/>
        </w:rPr>
        <w:t>GDP</w:t>
      </w:r>
      <w:r w:rsidRPr="003D2124">
        <w:rPr>
          <w:rFonts w:ascii="Times New Roman" w:hAnsi="Times New Roman" w:cs="Times New Roman"/>
        </w:rPr>
        <w:t>の約</w:t>
      </w:r>
      <w:r w:rsidRPr="003D2124">
        <w:rPr>
          <w:rFonts w:ascii="Times New Roman" w:hAnsi="Times New Roman" w:cs="Times New Roman"/>
        </w:rPr>
        <w:t>21%</w:t>
      </w:r>
      <w:r w:rsidRPr="003D2124">
        <w:rPr>
          <w:rFonts w:ascii="Times New Roman" w:hAnsi="Times New Roman" w:cs="Times New Roman"/>
        </w:rPr>
        <w:t>に相当）減らしてきた</w:t>
      </w:r>
      <w:r w:rsidR="00A722C2">
        <w:rPr>
          <w:rFonts w:ascii="Times New Roman" w:hAnsi="Times New Roman" w:cs="Times New Roman" w:hint="eastAsia"/>
        </w:rPr>
        <w:t>と指摘している</w:t>
      </w:r>
      <w:r w:rsidRPr="003D2124">
        <w:rPr>
          <w:rFonts w:ascii="Times New Roman" w:hAnsi="Times New Roman" w:cs="Times New Roman"/>
        </w:rPr>
        <w:t>（</w:t>
      </w:r>
      <w:r w:rsidRPr="003D2124">
        <w:rPr>
          <w:rFonts w:ascii="Times New Roman" w:hAnsi="Times New Roman" w:cs="Times New Roman"/>
        </w:rPr>
        <w:t>IMF, 2012</w:t>
      </w:r>
      <w:r w:rsidRPr="003D2124">
        <w:rPr>
          <w:rFonts w:ascii="Times New Roman" w:hAnsi="Times New Roman" w:cs="Times New Roman"/>
        </w:rPr>
        <w:t>）。</w:t>
      </w:r>
    </w:p>
    <w:p w:rsidR="0073089D" w:rsidRDefault="0073089D" w:rsidP="00E17B77">
      <w:pPr>
        <w:rPr>
          <w:rFonts w:ascii="Times New Roman" w:hAnsi="Times New Roman" w:cs="Times New Roman"/>
        </w:rPr>
      </w:pPr>
    </w:p>
    <w:p w:rsidR="00A722C2" w:rsidRPr="005B5C82" w:rsidRDefault="00A722C2" w:rsidP="00E17B77">
      <w:pPr>
        <w:rPr>
          <w:rFonts w:ascii="Times New Roman" w:hAnsi="Times New Roman" w:cs="Times New Roman"/>
          <w:b/>
        </w:rPr>
      </w:pPr>
      <w:r w:rsidRPr="005B5C82">
        <w:rPr>
          <w:rFonts w:ascii="Times New Roman" w:hAnsi="Times New Roman" w:cs="Times New Roman" w:hint="eastAsia"/>
          <w:b/>
        </w:rPr>
        <w:t>危機への対応</w:t>
      </w:r>
    </w:p>
    <w:p w:rsidR="00A722C2" w:rsidRDefault="005B5C82" w:rsidP="00E17B77">
      <w:pPr>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hint="eastAsia"/>
        </w:rPr>
        <w:t>2008</w:t>
      </w:r>
      <w:r>
        <w:rPr>
          <w:rFonts w:ascii="Times New Roman" w:hAnsi="Times New Roman" w:cs="Times New Roman" w:hint="eastAsia"/>
        </w:rPr>
        <w:t>年</w:t>
      </w:r>
      <w:r>
        <w:rPr>
          <w:rFonts w:ascii="Times New Roman" w:hAnsi="Times New Roman" w:cs="Times New Roman" w:hint="eastAsia"/>
        </w:rPr>
        <w:t>9</w:t>
      </w:r>
      <w:r>
        <w:rPr>
          <w:rFonts w:ascii="Times New Roman" w:hAnsi="Times New Roman" w:cs="Times New Roman" w:hint="eastAsia"/>
        </w:rPr>
        <w:t>月のリーマン・ショックの直前に総選挙が行われ、中道右派政権は敗北し、中</w:t>
      </w:r>
      <w:r>
        <w:rPr>
          <w:rFonts w:ascii="Times New Roman" w:hAnsi="Times New Roman" w:cs="Times New Roman" w:hint="eastAsia"/>
        </w:rPr>
        <w:lastRenderedPageBreak/>
        <w:t>道左派の連立政権（首相は社会民主党の党首ボルート・ポハール）が発足した。新政権はグローバル金融危機への対応に遅れ、その後も国内で深まる危機への対応に苦慮した。『新興ヨーロッパ・モニター』は、「スロヴェニアは、銀行システム防衛のために介入する国々が増える中で介入する最後の国になった」（</w:t>
      </w:r>
      <w:r w:rsidRPr="003647BB">
        <w:rPr>
          <w:rFonts w:ascii="Times New Roman" w:hAnsi="Times New Roman" w:cs="Times New Roman" w:hint="eastAsia"/>
          <w:i/>
        </w:rPr>
        <w:t>EEM</w:t>
      </w:r>
      <w:r>
        <w:rPr>
          <w:rFonts w:ascii="Times New Roman" w:hAnsi="Times New Roman" w:cs="Times New Roman" w:hint="eastAsia"/>
        </w:rPr>
        <w:t>, December 2008</w:t>
      </w:r>
      <w:r>
        <w:rPr>
          <w:rFonts w:ascii="Times New Roman" w:hAnsi="Times New Roman" w:cs="Times New Roman" w:hint="eastAsia"/>
        </w:rPr>
        <w:t>）と指摘している。</w:t>
      </w:r>
    </w:p>
    <w:p w:rsidR="005B5C82" w:rsidRPr="00A722C2" w:rsidRDefault="005B5C82" w:rsidP="00E17B77">
      <w:pPr>
        <w:rPr>
          <w:rFonts w:ascii="Times New Roman" w:hAnsi="Times New Roman" w:cs="Times New Roman"/>
        </w:rPr>
      </w:pPr>
    </w:p>
    <w:p w:rsidR="00E17B77" w:rsidRPr="00FC012F" w:rsidRDefault="00E17B77" w:rsidP="00E17B77">
      <w:pPr>
        <w:rPr>
          <w:rFonts w:ascii="Times New Roman" w:hAnsi="Times New Roman" w:cs="Times New Roman"/>
          <w:b/>
        </w:rPr>
      </w:pPr>
      <w:r w:rsidRPr="00FC012F">
        <w:rPr>
          <w:rFonts w:ascii="Times New Roman" w:hAnsi="Times New Roman" w:cs="Times New Roman"/>
          <w:b/>
        </w:rPr>
        <w:t>二番底の不況</w:t>
      </w:r>
    </w:p>
    <w:p w:rsidR="005418A1" w:rsidRPr="003D2124" w:rsidRDefault="00A722C2" w:rsidP="00FE42FE">
      <w:pPr>
        <w:ind w:firstLineChars="100" w:firstLine="210"/>
        <w:rPr>
          <w:rFonts w:ascii="Times New Roman" w:hAnsi="Times New Roman" w:cs="Times New Roman"/>
        </w:rPr>
      </w:pPr>
      <w:r>
        <w:rPr>
          <w:rFonts w:ascii="Times New Roman" w:hAnsi="Times New Roman" w:cs="Times New Roman" w:hint="eastAsia"/>
        </w:rPr>
        <w:t>2010</w:t>
      </w:r>
      <w:r>
        <w:rPr>
          <w:rFonts w:ascii="Times New Roman" w:hAnsi="Times New Roman" w:cs="Times New Roman" w:hint="eastAsia"/>
        </w:rPr>
        <w:t>年のユーロ圏平均の</w:t>
      </w:r>
      <w:r>
        <w:rPr>
          <w:rFonts w:ascii="Times New Roman" w:hAnsi="Times New Roman" w:cs="Times New Roman" w:hint="eastAsia"/>
        </w:rPr>
        <w:t>GDP</w:t>
      </w:r>
      <w:r>
        <w:rPr>
          <w:rFonts w:ascii="Times New Roman" w:hAnsi="Times New Roman" w:cs="Times New Roman" w:hint="eastAsia"/>
        </w:rPr>
        <w:t>成長率は</w:t>
      </w:r>
      <w:r>
        <w:rPr>
          <w:rFonts w:ascii="Times New Roman" w:hAnsi="Times New Roman" w:cs="Times New Roman" w:hint="eastAsia"/>
        </w:rPr>
        <w:t>1.7</w:t>
      </w:r>
      <w:r>
        <w:rPr>
          <w:rFonts w:ascii="Times New Roman" w:hAnsi="Times New Roman" w:cs="Times New Roman" w:hint="eastAsia"/>
        </w:rPr>
        <w:t>％であった。</w:t>
      </w:r>
      <w:r w:rsidR="00E17B77" w:rsidRPr="003D2124">
        <w:rPr>
          <w:rFonts w:ascii="Times New Roman" w:hAnsi="Times New Roman" w:cs="Times New Roman"/>
        </w:rPr>
        <w:t>ユーロ圏への輸出が幾分増加したおかげで、ようやく</w:t>
      </w:r>
      <w:r w:rsidR="00E17B77" w:rsidRPr="003D2124">
        <w:rPr>
          <w:rFonts w:ascii="Times New Roman" w:hAnsi="Times New Roman" w:cs="Times New Roman"/>
        </w:rPr>
        <w:t>2010</w:t>
      </w:r>
      <w:r w:rsidR="00E17B77" w:rsidRPr="003D2124">
        <w:rPr>
          <w:rFonts w:ascii="Times New Roman" w:hAnsi="Times New Roman" w:cs="Times New Roman"/>
        </w:rPr>
        <w:t>年第</w:t>
      </w:r>
      <w:r w:rsidR="00E17B77" w:rsidRPr="003D2124">
        <w:rPr>
          <w:rFonts w:ascii="Times New Roman" w:hAnsi="Times New Roman" w:cs="Times New Roman"/>
        </w:rPr>
        <w:t>2</w:t>
      </w:r>
      <w:r w:rsidR="00E17B77" w:rsidRPr="003D2124">
        <w:rPr>
          <w:rFonts w:ascii="Times New Roman" w:hAnsi="Times New Roman" w:cs="Times New Roman"/>
        </w:rPr>
        <w:t>四半期になって経済は上向き、この年の</w:t>
      </w:r>
      <w:r w:rsidR="00E17B77" w:rsidRPr="003D2124">
        <w:rPr>
          <w:rFonts w:ascii="Times New Roman" w:hAnsi="Times New Roman" w:cs="Times New Roman"/>
        </w:rPr>
        <w:t>GDP</w:t>
      </w:r>
      <w:r w:rsidR="00E17B77" w:rsidRPr="003D2124">
        <w:rPr>
          <w:rFonts w:ascii="Times New Roman" w:hAnsi="Times New Roman" w:cs="Times New Roman"/>
        </w:rPr>
        <w:t>成長率はプラスの</w:t>
      </w:r>
      <w:r w:rsidR="00E17B77" w:rsidRPr="003D2124">
        <w:rPr>
          <w:rFonts w:ascii="Times New Roman" w:hAnsi="Times New Roman" w:cs="Times New Roman"/>
        </w:rPr>
        <w:t>1.2%</w:t>
      </w:r>
      <w:r w:rsidR="00E17B77" w:rsidRPr="003D2124">
        <w:rPr>
          <w:rFonts w:ascii="Times New Roman" w:hAnsi="Times New Roman" w:cs="Times New Roman"/>
        </w:rPr>
        <w:t>を記録。ところが、</w:t>
      </w:r>
      <w:r w:rsidR="00E17B77" w:rsidRPr="003D2124">
        <w:rPr>
          <w:rFonts w:ascii="Times New Roman" w:hAnsi="Times New Roman" w:cs="Times New Roman"/>
        </w:rPr>
        <w:t>2011</w:t>
      </w:r>
      <w:r w:rsidR="00E17B77" w:rsidRPr="003D2124">
        <w:rPr>
          <w:rFonts w:ascii="Times New Roman" w:hAnsi="Times New Roman" w:cs="Times New Roman"/>
        </w:rPr>
        <w:t>年には経済活動は再び弱まった。</w:t>
      </w:r>
      <w:r w:rsidR="00E17B77" w:rsidRPr="003D2124">
        <w:rPr>
          <w:rFonts w:ascii="Times New Roman" w:hAnsi="Times New Roman" w:cs="Times New Roman"/>
        </w:rPr>
        <w:t>3</w:t>
      </w:r>
      <w:r w:rsidR="00E17B77" w:rsidRPr="003D2124">
        <w:rPr>
          <w:rFonts w:ascii="Times New Roman" w:hAnsi="Times New Roman" w:cs="Times New Roman"/>
        </w:rPr>
        <w:t>年連続マイナス成長。</w:t>
      </w:r>
      <w:r w:rsidR="005418A1">
        <w:rPr>
          <w:rFonts w:ascii="Times New Roman" w:hAnsi="Times New Roman" w:cs="Times New Roman" w:hint="eastAsia"/>
        </w:rPr>
        <w:t>二番底の不況に陥った。全体的に調子が悪い中で、輸出志向の製造業は健闘した。</w:t>
      </w:r>
      <w:r w:rsidR="005418A1">
        <w:rPr>
          <w:rFonts w:ascii="Times New Roman" w:hAnsi="Times New Roman" w:cs="Times New Roman" w:hint="eastAsia"/>
        </w:rPr>
        <w:t>EU</w:t>
      </w:r>
      <w:r w:rsidR="005418A1">
        <w:rPr>
          <w:rFonts w:ascii="Times New Roman" w:hAnsi="Times New Roman" w:cs="Times New Roman" w:hint="eastAsia"/>
        </w:rPr>
        <w:t>市場はこの国の輸出の</w:t>
      </w:r>
      <w:r w:rsidR="005418A1">
        <w:rPr>
          <w:rFonts w:ascii="Times New Roman" w:hAnsi="Times New Roman" w:cs="Times New Roman" w:hint="eastAsia"/>
        </w:rPr>
        <w:t>70</w:t>
      </w:r>
      <w:r w:rsidR="005418A1">
        <w:rPr>
          <w:rFonts w:ascii="Times New Roman" w:hAnsi="Times New Roman" w:cs="Times New Roman" w:hint="eastAsia"/>
        </w:rPr>
        <w:t>％を占めているので重要である。</w:t>
      </w:r>
      <w:r w:rsidR="005418A1">
        <w:rPr>
          <w:rFonts w:ascii="Times New Roman" w:hAnsi="Times New Roman" w:cs="Times New Roman" w:hint="eastAsia"/>
        </w:rPr>
        <w:t>2011</w:t>
      </w:r>
      <w:r w:rsidR="005418A1">
        <w:rPr>
          <w:rFonts w:ascii="Times New Roman" w:hAnsi="Times New Roman" w:cs="Times New Roman" w:hint="eastAsia"/>
        </w:rPr>
        <w:t>年にギリシャを始めユーロ圏周縁部の債務危機の影響でユーロ圏への輸出が減少したときも非ユーロ圏（旧ソ連諸国など）への輸出に力を入れ、</w:t>
      </w:r>
      <w:r w:rsidR="005418A1">
        <w:rPr>
          <w:rFonts w:ascii="Times New Roman" w:hAnsi="Times New Roman" w:cs="Times New Roman" w:hint="eastAsia"/>
        </w:rPr>
        <w:t>2012</w:t>
      </w:r>
      <w:r w:rsidR="005418A1">
        <w:rPr>
          <w:rFonts w:ascii="Times New Roman" w:hAnsi="Times New Roman" w:cs="Times New Roman" w:hint="eastAsia"/>
        </w:rPr>
        <w:t>年まではわずかながらも輸出は増加し続けた。</w:t>
      </w:r>
    </w:p>
    <w:p w:rsidR="00E17B77" w:rsidRPr="003D2124" w:rsidRDefault="00FE7F4D" w:rsidP="005418A1">
      <w:pPr>
        <w:ind w:firstLineChars="100" w:firstLine="210"/>
        <w:rPr>
          <w:rFonts w:ascii="Times New Roman" w:hAnsi="Times New Roman" w:cs="Times New Roman"/>
        </w:rPr>
      </w:pPr>
      <w:r>
        <w:rPr>
          <w:rFonts w:ascii="Times New Roman" w:hAnsi="Times New Roman" w:cs="Times New Roman" w:hint="eastAsia"/>
        </w:rPr>
        <w:t>むしろ二番底不況の最大の要因は国内にあ</w:t>
      </w:r>
      <w:r w:rsidR="005418A1">
        <w:rPr>
          <w:rFonts w:ascii="Times New Roman" w:hAnsi="Times New Roman" w:cs="Times New Roman" w:hint="eastAsia"/>
        </w:rPr>
        <w:t>った</w:t>
      </w:r>
      <w:r>
        <w:rPr>
          <w:rFonts w:ascii="Times New Roman" w:hAnsi="Times New Roman" w:cs="Times New Roman" w:hint="eastAsia"/>
        </w:rPr>
        <w:t>。①</w:t>
      </w:r>
      <w:r w:rsidR="00E17B77" w:rsidRPr="003D2124">
        <w:rPr>
          <w:rFonts w:ascii="Times New Roman" w:hAnsi="Times New Roman" w:cs="Times New Roman"/>
        </w:rPr>
        <w:t>大量の不良債権の発生。とくに多いのは建設セクターと金融持ち株会社</w:t>
      </w:r>
      <w:r>
        <w:rPr>
          <w:rFonts w:ascii="Times New Roman" w:hAnsi="Times New Roman" w:cs="Times New Roman" w:hint="eastAsia"/>
        </w:rPr>
        <w:t>である</w:t>
      </w:r>
      <w:r w:rsidR="00E17B77" w:rsidRPr="003D2124">
        <w:rPr>
          <w:rFonts w:ascii="Times New Roman" w:hAnsi="Times New Roman" w:cs="Times New Roman"/>
        </w:rPr>
        <w:t>。</w:t>
      </w:r>
      <w:r>
        <w:rPr>
          <w:rFonts w:ascii="Times New Roman" w:hAnsi="Times New Roman" w:cs="Times New Roman" w:hint="eastAsia"/>
        </w:rPr>
        <w:t>これらの企業に積極的に融資したのは国家が過半数株を保有する</w:t>
      </w:r>
      <w:r>
        <w:rPr>
          <w:rFonts w:ascii="Times New Roman" w:hAnsi="Times New Roman" w:cs="Times New Roman" w:hint="eastAsia"/>
        </w:rPr>
        <w:t>3</w:t>
      </w:r>
      <w:r>
        <w:rPr>
          <w:rFonts w:ascii="Times New Roman" w:hAnsi="Times New Roman" w:cs="Times New Roman" w:hint="eastAsia"/>
        </w:rPr>
        <w:t>大</w:t>
      </w:r>
      <w:r w:rsidR="00E17B77" w:rsidRPr="003D2124">
        <w:rPr>
          <w:rFonts w:ascii="Times New Roman" w:hAnsi="Times New Roman" w:cs="Times New Roman"/>
        </w:rPr>
        <w:t>銀行</w:t>
      </w:r>
      <w:r w:rsidR="004D6112">
        <w:rPr>
          <w:rFonts w:ascii="Times New Roman" w:hAnsi="Times New Roman" w:cs="Times New Roman" w:hint="eastAsia"/>
        </w:rPr>
        <w:t>であった。これらの銀行の危機対応も遅れた。当初、「自分のバランス・シートに大量の不良債権を抱えることになったが、損失を認めたがらず、根底にある本当の問題を隠すために、銀行は状況の</w:t>
      </w:r>
      <w:r w:rsidR="00645B8B">
        <w:rPr>
          <w:rFonts w:ascii="Times New Roman" w:hAnsi="Times New Roman" w:cs="Times New Roman" w:hint="eastAsia"/>
        </w:rPr>
        <w:t>好転</w:t>
      </w:r>
      <w:r w:rsidR="004D6112">
        <w:rPr>
          <w:rFonts w:ascii="Times New Roman" w:hAnsi="Times New Roman" w:cs="Times New Roman" w:hint="eastAsia"/>
        </w:rPr>
        <w:t>を願って、不良資産を自分のポートフォリオに維持した」</w:t>
      </w:r>
      <w:r w:rsidR="004D6112">
        <w:rPr>
          <w:rStyle w:val="ae"/>
          <w:rFonts w:ascii="Times New Roman" w:hAnsi="Times New Roman" w:cs="Times New Roman"/>
        </w:rPr>
        <w:footnoteReference w:id="16"/>
      </w:r>
      <w:r w:rsidR="004D6112">
        <w:rPr>
          <w:rFonts w:ascii="Times New Roman" w:hAnsi="Times New Roman" w:cs="Times New Roman" w:hint="eastAsia"/>
        </w:rPr>
        <w:t>。しかし、結果的に</w:t>
      </w:r>
      <w:r w:rsidR="00E17B77" w:rsidRPr="003D2124">
        <w:rPr>
          <w:rFonts w:ascii="Times New Roman" w:hAnsi="Times New Roman" w:cs="Times New Roman"/>
        </w:rPr>
        <w:t>は</w:t>
      </w:r>
      <w:r w:rsidR="004D6112">
        <w:rPr>
          <w:rFonts w:ascii="Times New Roman" w:hAnsi="Times New Roman" w:cs="Times New Roman" w:hint="eastAsia"/>
        </w:rPr>
        <w:t>大量の不良債権を抱えることになり、銀行は不良債権処理に追われた。銀行は</w:t>
      </w:r>
      <w:r w:rsidR="00E17B77" w:rsidRPr="003D2124">
        <w:rPr>
          <w:rFonts w:ascii="Times New Roman" w:hAnsi="Times New Roman" w:cs="Times New Roman"/>
        </w:rPr>
        <w:t>債務</w:t>
      </w:r>
      <w:r w:rsidR="00500F53">
        <w:rPr>
          <w:rFonts w:ascii="Times New Roman" w:hAnsi="Times New Roman" w:cs="Times New Roman" w:hint="eastAsia"/>
        </w:rPr>
        <w:t>の</w:t>
      </w:r>
      <w:r w:rsidR="00E17B77" w:rsidRPr="003D2124">
        <w:rPr>
          <w:rFonts w:ascii="Times New Roman" w:hAnsi="Times New Roman" w:cs="Times New Roman"/>
        </w:rPr>
        <w:t>圧縮</w:t>
      </w:r>
      <w:r w:rsidR="004D6112">
        <w:rPr>
          <w:rFonts w:ascii="Times New Roman" w:hAnsi="Times New Roman" w:cs="Times New Roman" w:hint="eastAsia"/>
        </w:rPr>
        <w:t>を続けた</w:t>
      </w:r>
      <w:r w:rsidR="00E17B77" w:rsidRPr="003D2124">
        <w:rPr>
          <w:rFonts w:ascii="Times New Roman" w:hAnsi="Times New Roman" w:cs="Times New Roman"/>
        </w:rPr>
        <w:t>。</w:t>
      </w:r>
      <w:r w:rsidR="004D6112">
        <w:rPr>
          <w:rFonts w:ascii="Times New Roman" w:hAnsi="Times New Roman" w:cs="Times New Roman" w:hint="eastAsia"/>
        </w:rPr>
        <w:t>つまり、外国の銀行へ債務を返済すると同時に、国内では非金融企業と家計への貸付けを年々減らし続けた。②</w:t>
      </w:r>
      <w:r w:rsidR="00E17B77" w:rsidRPr="003D2124">
        <w:rPr>
          <w:rFonts w:ascii="Times New Roman" w:hAnsi="Times New Roman" w:cs="Times New Roman"/>
        </w:rPr>
        <w:t>破産を免れた企業も債務圧縮の努力</w:t>
      </w:r>
      <w:r w:rsidR="004D6112">
        <w:rPr>
          <w:rFonts w:ascii="Times New Roman" w:hAnsi="Times New Roman" w:cs="Times New Roman" w:hint="eastAsia"/>
        </w:rPr>
        <w:t>を続けたし、銀行からの融資も減少したので、企業による</w:t>
      </w:r>
      <w:r w:rsidR="00E17B77" w:rsidRPr="003D2124">
        <w:rPr>
          <w:rFonts w:ascii="Times New Roman" w:hAnsi="Times New Roman" w:cs="Times New Roman"/>
        </w:rPr>
        <w:t>投資も</w:t>
      </w:r>
      <w:r w:rsidR="004D6112">
        <w:rPr>
          <w:rFonts w:ascii="Times New Roman" w:hAnsi="Times New Roman" w:cs="Times New Roman" w:hint="eastAsia"/>
        </w:rPr>
        <w:t>年々</w:t>
      </w:r>
      <w:r w:rsidR="00E17B77" w:rsidRPr="003D2124">
        <w:rPr>
          <w:rFonts w:ascii="Times New Roman" w:hAnsi="Times New Roman" w:cs="Times New Roman"/>
        </w:rPr>
        <w:t>減少</w:t>
      </w:r>
      <w:r w:rsidR="004D6112">
        <w:rPr>
          <w:rFonts w:ascii="Times New Roman" w:hAnsi="Times New Roman" w:cs="Times New Roman" w:hint="eastAsia"/>
        </w:rPr>
        <w:t>した</w:t>
      </w:r>
      <w:r w:rsidR="00E17B77" w:rsidRPr="003D2124">
        <w:rPr>
          <w:rFonts w:ascii="Times New Roman" w:hAnsi="Times New Roman" w:cs="Times New Roman"/>
        </w:rPr>
        <w:t>。</w:t>
      </w:r>
      <w:r w:rsidR="004D6112">
        <w:rPr>
          <w:rFonts w:ascii="Times New Roman" w:hAnsi="Times New Roman" w:cs="Times New Roman" w:hint="eastAsia"/>
        </w:rPr>
        <w:t>③</w:t>
      </w:r>
      <w:r w:rsidR="00E17B77" w:rsidRPr="003D2124">
        <w:rPr>
          <w:rFonts w:ascii="Times New Roman" w:hAnsi="Times New Roman" w:cs="Times New Roman"/>
        </w:rPr>
        <w:t>政府の財政再建がスタート</w:t>
      </w:r>
      <w:r w:rsidR="004D6112">
        <w:rPr>
          <w:rFonts w:ascii="Times New Roman" w:hAnsi="Times New Roman" w:cs="Times New Roman" w:hint="eastAsia"/>
        </w:rPr>
        <w:t>した。長年、この国は健全財政（小幅の赤字）を維持してきたが、グローバル金融危機以後、不況のため税収が減少すると同時に、社会的な支出が増えた。それに加えて、政府は</w:t>
      </w:r>
      <w:r w:rsidR="005418A1">
        <w:rPr>
          <w:rFonts w:ascii="Times New Roman" w:hAnsi="Times New Roman" w:cs="Times New Roman" w:hint="eastAsia"/>
        </w:rPr>
        <w:t>銀行システムを守るために、たびたび資本注入を行わざるをえず、財政赤字が拡大した。欧州委員会からの強い指示もあり、財政再建が急務となった。</w:t>
      </w:r>
      <w:r w:rsidR="00E17B77" w:rsidRPr="003D2124">
        <w:rPr>
          <w:rFonts w:ascii="Times New Roman" w:hAnsi="Times New Roman" w:cs="Times New Roman"/>
        </w:rPr>
        <w:t>政府は耐乏措置をとり、政府消費を減ら</w:t>
      </w:r>
      <w:r w:rsidR="005418A1">
        <w:rPr>
          <w:rFonts w:ascii="Times New Roman" w:hAnsi="Times New Roman" w:cs="Times New Roman" w:hint="eastAsia"/>
        </w:rPr>
        <w:t>した</w:t>
      </w:r>
      <w:r w:rsidR="00E17B77" w:rsidRPr="003D2124">
        <w:rPr>
          <w:rFonts w:ascii="Times New Roman" w:hAnsi="Times New Roman" w:cs="Times New Roman"/>
        </w:rPr>
        <w:t>。</w:t>
      </w:r>
      <w:r w:rsidR="005418A1">
        <w:rPr>
          <w:rFonts w:ascii="Times New Roman" w:hAnsi="Times New Roman" w:cs="Times New Roman" w:hint="eastAsia"/>
        </w:rPr>
        <w:t>④</w:t>
      </w:r>
      <w:r w:rsidR="00E17B77" w:rsidRPr="003D2124">
        <w:rPr>
          <w:rFonts w:ascii="Times New Roman" w:hAnsi="Times New Roman" w:cs="Times New Roman"/>
        </w:rPr>
        <w:t>失業率が上昇し、賃金も減少し、将来の展望も見えない中で、家計の消費は伸び悩み、</w:t>
      </w:r>
      <w:r w:rsidR="00E17B77" w:rsidRPr="003D2124">
        <w:rPr>
          <w:rFonts w:ascii="Times New Roman" w:hAnsi="Times New Roman" w:cs="Times New Roman"/>
        </w:rPr>
        <w:t>2012</w:t>
      </w:r>
      <w:r w:rsidR="00E17B77" w:rsidRPr="003D2124">
        <w:rPr>
          <w:rFonts w:ascii="Times New Roman" w:hAnsi="Times New Roman" w:cs="Times New Roman"/>
        </w:rPr>
        <w:t>年には減少</w:t>
      </w:r>
      <w:r w:rsidR="005418A1">
        <w:rPr>
          <w:rFonts w:ascii="Times New Roman" w:hAnsi="Times New Roman" w:cs="Times New Roman" w:hint="eastAsia"/>
        </w:rPr>
        <w:t>した</w:t>
      </w:r>
      <w:r w:rsidR="00E17B77" w:rsidRPr="003D2124">
        <w:rPr>
          <w:rFonts w:ascii="Times New Roman" w:hAnsi="Times New Roman" w:cs="Times New Roman"/>
        </w:rPr>
        <w:t>。</w:t>
      </w:r>
      <w:r w:rsidR="005418A1">
        <w:rPr>
          <w:rFonts w:ascii="Times New Roman" w:hAnsi="Times New Roman" w:cs="Times New Roman" w:hint="eastAsia"/>
        </w:rPr>
        <w:t>これらの要因が相乗的に作用して、不況を深めた。</w:t>
      </w:r>
    </w:p>
    <w:p w:rsidR="0073089D" w:rsidRPr="003D2124" w:rsidRDefault="0073089D" w:rsidP="00E17B77">
      <w:pPr>
        <w:rPr>
          <w:rFonts w:ascii="Times New Roman" w:hAnsi="Times New Roman" w:cs="Times New Roman"/>
        </w:rPr>
      </w:pPr>
    </w:p>
    <w:p w:rsidR="008E2B95" w:rsidRPr="003D2124" w:rsidRDefault="00CC7F9A">
      <w:pPr>
        <w:rPr>
          <w:rFonts w:ascii="Times New Roman" w:hAnsi="Times New Roman" w:cs="Times New Roman"/>
        </w:rPr>
      </w:pPr>
      <w:r>
        <w:rPr>
          <w:rFonts w:ascii="Times New Roman" w:hAnsi="Times New Roman" w:cs="Times New Roman" w:hint="eastAsia"/>
          <w:b/>
          <w:bCs/>
        </w:rPr>
        <w:t>銀行システムの</w:t>
      </w:r>
      <w:r w:rsidR="008E2B95" w:rsidRPr="003D2124">
        <w:rPr>
          <w:rFonts w:ascii="Times New Roman" w:hAnsi="Times New Roman" w:cs="Times New Roman"/>
          <w:b/>
          <w:bCs/>
        </w:rPr>
        <w:t>危機</w:t>
      </w:r>
    </w:p>
    <w:p w:rsidR="009D0D95" w:rsidRDefault="005418A1" w:rsidP="00E17B77">
      <w:pPr>
        <w:rPr>
          <w:rFonts w:ascii="Times New Roman" w:hAnsi="Times New Roman" w:cs="Times New Roman"/>
        </w:rPr>
      </w:pPr>
      <w:r>
        <w:rPr>
          <w:rFonts w:ascii="Times New Roman" w:hAnsi="Times New Roman" w:cs="Times New Roman" w:hint="eastAsia"/>
        </w:rPr>
        <w:t xml:space="preserve">　以上の要因は、</w:t>
      </w:r>
      <w:r w:rsidR="00694B35">
        <w:rPr>
          <w:rFonts w:ascii="Times New Roman" w:hAnsi="Times New Roman" w:cs="Times New Roman" w:hint="eastAsia"/>
        </w:rPr>
        <w:t>他</w:t>
      </w:r>
      <w:r>
        <w:rPr>
          <w:rFonts w:ascii="Times New Roman" w:hAnsi="Times New Roman" w:cs="Times New Roman" w:hint="eastAsia"/>
        </w:rPr>
        <w:t>の</w:t>
      </w:r>
      <w:r w:rsidR="00694B35">
        <w:rPr>
          <w:rFonts w:ascii="Times New Roman" w:hAnsi="Times New Roman" w:cs="Times New Roman" w:hint="eastAsia"/>
        </w:rPr>
        <w:t>国にも多かれ少なかれ同様に存在する。スロヴェニアではとりわけ銀行システムが深刻な問題を抱えるに至った。</w:t>
      </w:r>
      <w:r w:rsidR="008E2B95" w:rsidRPr="003D2124">
        <w:rPr>
          <w:rFonts w:ascii="Times New Roman" w:hAnsi="Times New Roman" w:cs="Times New Roman"/>
        </w:rPr>
        <w:t>銀行システムの債権総額に占める不良債権</w:t>
      </w:r>
      <w:r w:rsidR="008E2B95" w:rsidRPr="003D2124">
        <w:rPr>
          <w:rFonts w:ascii="Times New Roman" w:hAnsi="Times New Roman" w:cs="Times New Roman"/>
        </w:rPr>
        <w:lastRenderedPageBreak/>
        <w:t>の割合は</w:t>
      </w:r>
      <w:r w:rsidR="008E2B95" w:rsidRPr="003D2124">
        <w:rPr>
          <w:rFonts w:ascii="Times New Roman" w:hAnsi="Times New Roman" w:cs="Times New Roman"/>
        </w:rPr>
        <w:t>2011</w:t>
      </w:r>
      <w:r w:rsidR="008E2B95" w:rsidRPr="003D2124">
        <w:rPr>
          <w:rFonts w:ascii="Times New Roman" w:hAnsi="Times New Roman" w:cs="Times New Roman"/>
        </w:rPr>
        <w:t>年末の</w:t>
      </w:r>
      <w:r w:rsidR="008E2B95" w:rsidRPr="003D2124">
        <w:rPr>
          <w:rFonts w:ascii="Times New Roman" w:hAnsi="Times New Roman" w:cs="Times New Roman"/>
        </w:rPr>
        <w:t>11.2%</w:t>
      </w:r>
      <w:r w:rsidR="008E2B95" w:rsidRPr="003D2124">
        <w:rPr>
          <w:rFonts w:ascii="Times New Roman" w:hAnsi="Times New Roman" w:cs="Times New Roman"/>
        </w:rPr>
        <w:t>から</w:t>
      </w:r>
      <w:r w:rsidR="008E2B95" w:rsidRPr="003D2124">
        <w:rPr>
          <w:rFonts w:ascii="Times New Roman" w:hAnsi="Times New Roman" w:cs="Times New Roman"/>
        </w:rPr>
        <w:t>2012</w:t>
      </w:r>
      <w:r w:rsidR="008E2B95" w:rsidRPr="003D2124">
        <w:rPr>
          <w:rFonts w:ascii="Times New Roman" w:hAnsi="Times New Roman" w:cs="Times New Roman"/>
        </w:rPr>
        <w:t>年には</w:t>
      </w:r>
      <w:r w:rsidR="008E2B95" w:rsidRPr="003D2124">
        <w:rPr>
          <w:rFonts w:ascii="Times New Roman" w:hAnsi="Times New Roman" w:cs="Times New Roman"/>
        </w:rPr>
        <w:t>14.4%</w:t>
      </w:r>
      <w:r w:rsidR="008E2B95" w:rsidRPr="003D2124">
        <w:rPr>
          <w:rFonts w:ascii="Times New Roman" w:hAnsi="Times New Roman" w:cs="Times New Roman"/>
        </w:rPr>
        <w:t>へと高まった。とくに</w:t>
      </w:r>
      <w:r w:rsidR="008E2B95" w:rsidRPr="003D2124">
        <w:rPr>
          <w:rFonts w:ascii="Times New Roman" w:hAnsi="Times New Roman" w:cs="Times New Roman"/>
        </w:rPr>
        <w:t>3</w:t>
      </w:r>
      <w:r w:rsidR="008E2B95" w:rsidRPr="003D2124">
        <w:rPr>
          <w:rFonts w:ascii="Times New Roman" w:hAnsi="Times New Roman" w:cs="Times New Roman"/>
        </w:rPr>
        <w:t>大銀行は、その比率が同じ期間に</w:t>
      </w:r>
      <w:r w:rsidR="008E2B95" w:rsidRPr="003D2124">
        <w:rPr>
          <w:rFonts w:ascii="Times New Roman" w:hAnsi="Times New Roman" w:cs="Times New Roman"/>
        </w:rPr>
        <w:t>15.6%</w:t>
      </w:r>
      <w:r w:rsidR="008E2B95" w:rsidRPr="003D2124">
        <w:rPr>
          <w:rFonts w:ascii="Times New Roman" w:hAnsi="Times New Roman" w:cs="Times New Roman"/>
        </w:rPr>
        <w:t>から</w:t>
      </w:r>
      <w:r w:rsidR="008E2B95" w:rsidRPr="003D2124">
        <w:rPr>
          <w:rFonts w:ascii="Times New Roman" w:hAnsi="Times New Roman" w:cs="Times New Roman"/>
        </w:rPr>
        <w:t>20.5%</w:t>
      </w:r>
      <w:r w:rsidR="008E2B95" w:rsidRPr="003D2124">
        <w:rPr>
          <w:rFonts w:ascii="Times New Roman" w:hAnsi="Times New Roman" w:cs="Times New Roman"/>
        </w:rPr>
        <w:t>へと高まる。中でも企業へのローン総額の約</w:t>
      </w:r>
      <w:r w:rsidR="008E2B95" w:rsidRPr="003D2124">
        <w:rPr>
          <w:rFonts w:ascii="Times New Roman" w:hAnsi="Times New Roman" w:cs="Times New Roman"/>
        </w:rPr>
        <w:t>3</w:t>
      </w:r>
      <w:r w:rsidR="008E2B95" w:rsidRPr="003D2124">
        <w:rPr>
          <w:rFonts w:ascii="Times New Roman" w:hAnsi="Times New Roman" w:cs="Times New Roman"/>
        </w:rPr>
        <w:t>分の</w:t>
      </w:r>
      <w:r w:rsidR="008E2B95" w:rsidRPr="003D2124">
        <w:rPr>
          <w:rFonts w:ascii="Times New Roman" w:hAnsi="Times New Roman" w:cs="Times New Roman"/>
        </w:rPr>
        <w:t>1</w:t>
      </w:r>
      <w:r w:rsidR="008E2B95" w:rsidRPr="003D2124">
        <w:rPr>
          <w:rFonts w:ascii="Times New Roman" w:hAnsi="Times New Roman" w:cs="Times New Roman"/>
        </w:rPr>
        <w:t>は不良債権</w:t>
      </w:r>
      <w:r w:rsidR="00694B35">
        <w:rPr>
          <w:rFonts w:ascii="Times New Roman" w:hAnsi="Times New Roman" w:cs="Times New Roman" w:hint="eastAsia"/>
        </w:rPr>
        <w:t>であった</w:t>
      </w:r>
      <w:r w:rsidR="008E2B95" w:rsidRPr="003D2124">
        <w:rPr>
          <w:rFonts w:ascii="Times New Roman" w:hAnsi="Times New Roman" w:cs="Times New Roman"/>
        </w:rPr>
        <w:t>（</w:t>
      </w:r>
      <w:r w:rsidR="008E2B95" w:rsidRPr="003D2124">
        <w:rPr>
          <w:rFonts w:ascii="Times New Roman" w:hAnsi="Times New Roman" w:cs="Times New Roman"/>
        </w:rPr>
        <w:t>IMF, 2013</w:t>
      </w:r>
      <w:r w:rsidR="008E2B95" w:rsidRPr="003D2124">
        <w:rPr>
          <w:rFonts w:ascii="Times New Roman" w:hAnsi="Times New Roman" w:cs="Times New Roman"/>
        </w:rPr>
        <w:t>）。</w:t>
      </w:r>
    </w:p>
    <w:p w:rsidR="009E332C" w:rsidRPr="003D2124" w:rsidRDefault="00694B35">
      <w:pPr>
        <w:rPr>
          <w:rFonts w:ascii="Times New Roman" w:hAnsi="Times New Roman" w:cs="Times New Roman"/>
        </w:rPr>
      </w:pPr>
      <w:r>
        <w:rPr>
          <w:rFonts w:ascii="Times New Roman" w:hAnsi="Times New Roman" w:cs="Times New Roman" w:hint="eastAsia"/>
        </w:rPr>
        <w:t xml:space="preserve">　</w:t>
      </w:r>
    </w:p>
    <w:tbl>
      <w:tblPr>
        <w:tblW w:w="8222" w:type="dxa"/>
        <w:tblInd w:w="84" w:type="dxa"/>
        <w:tblCellMar>
          <w:left w:w="99" w:type="dxa"/>
          <w:right w:w="99" w:type="dxa"/>
        </w:tblCellMar>
        <w:tblLook w:val="04A0" w:firstRow="1" w:lastRow="0" w:firstColumn="1" w:lastColumn="0" w:noHBand="0" w:noVBand="1"/>
      </w:tblPr>
      <w:tblGrid>
        <w:gridCol w:w="2602"/>
        <w:gridCol w:w="738"/>
        <w:gridCol w:w="753"/>
        <w:gridCol w:w="738"/>
        <w:gridCol w:w="753"/>
        <w:gridCol w:w="738"/>
        <w:gridCol w:w="753"/>
        <w:gridCol w:w="738"/>
        <w:gridCol w:w="753"/>
      </w:tblGrid>
      <w:tr w:rsidR="00D67C65" w:rsidRPr="003D2124" w:rsidTr="00D67C65">
        <w:trPr>
          <w:trHeight w:val="375"/>
        </w:trPr>
        <w:tc>
          <w:tcPr>
            <w:tcW w:w="8222" w:type="dxa"/>
            <w:gridSpan w:val="9"/>
            <w:tcBorders>
              <w:top w:val="nil"/>
              <w:left w:val="nil"/>
              <w:bottom w:val="single" w:sz="4" w:space="0" w:color="auto"/>
              <w:right w:val="nil"/>
            </w:tcBorders>
            <w:shd w:val="clear" w:color="auto" w:fill="auto"/>
            <w:noWrap/>
            <w:vAlign w:val="center"/>
            <w:hideMark/>
          </w:tcPr>
          <w:p w:rsidR="00D67C65" w:rsidRPr="00A722C2" w:rsidRDefault="00D67C65" w:rsidP="00D67C65">
            <w:pPr>
              <w:widowControl/>
              <w:spacing w:after="0"/>
              <w:jc w:val="center"/>
              <w:rPr>
                <w:rFonts w:asciiTheme="minorEastAsia" w:hAnsiTheme="minorEastAsia" w:cs="Times New Roman"/>
                <w:b/>
                <w:bCs/>
                <w:color w:val="000000"/>
                <w:kern w:val="0"/>
                <w:sz w:val="20"/>
                <w:szCs w:val="20"/>
              </w:rPr>
            </w:pPr>
            <w:r w:rsidRPr="00A722C2">
              <w:rPr>
                <w:rFonts w:asciiTheme="minorEastAsia" w:hAnsiTheme="minorEastAsia" w:cs="Times New Roman"/>
                <w:b/>
                <w:bCs/>
                <w:color w:val="000000"/>
                <w:kern w:val="0"/>
                <w:sz w:val="20"/>
                <w:szCs w:val="20"/>
              </w:rPr>
              <w:t>表4　スロヴェニア銀行システムの損益計算書</w:t>
            </w:r>
          </w:p>
        </w:tc>
      </w:tr>
      <w:tr w:rsidR="00D67C65" w:rsidRPr="003D2124" w:rsidTr="00D67C65">
        <w:trPr>
          <w:trHeight w:val="270"/>
        </w:trPr>
        <w:tc>
          <w:tcPr>
            <w:tcW w:w="2602" w:type="dxa"/>
            <w:tcBorders>
              <w:top w:val="nil"/>
              <w:left w:val="nil"/>
              <w:bottom w:val="single" w:sz="4" w:space="0" w:color="auto"/>
              <w:right w:val="single" w:sz="4" w:space="0" w:color="auto"/>
            </w:tcBorders>
            <w:shd w:val="clear" w:color="auto" w:fill="auto"/>
            <w:noWrap/>
            <w:vAlign w:val="center"/>
            <w:hideMark/>
          </w:tcPr>
          <w:p w:rsidR="00D67C65" w:rsidRPr="003D2124" w:rsidRDefault="00D67C65" w:rsidP="00D67C65">
            <w:pPr>
              <w:widowControl/>
              <w:spacing w:after="0"/>
              <w:jc w:val="left"/>
              <w:rPr>
                <w:rFonts w:ascii="Times New Roman" w:eastAsia="ＭＳ Ｐゴシック" w:hAnsi="Times New Roman" w:cs="Times New Roman"/>
                <w:color w:val="000000"/>
                <w:kern w:val="0"/>
                <w:sz w:val="20"/>
                <w:szCs w:val="20"/>
              </w:rPr>
            </w:pPr>
            <w:r w:rsidRPr="003D2124">
              <w:rPr>
                <w:rFonts w:ascii="Times New Roman" w:eastAsia="ＭＳ Ｐゴシック" w:hAnsi="Times New Roman" w:cs="Times New Roman"/>
                <w:color w:val="000000"/>
                <w:kern w:val="0"/>
                <w:sz w:val="20"/>
                <w:szCs w:val="20"/>
              </w:rPr>
              <w:t xml:space="preserve">　</w:t>
            </w:r>
          </w:p>
        </w:tc>
        <w:tc>
          <w:tcPr>
            <w:tcW w:w="1405" w:type="dxa"/>
            <w:gridSpan w:val="2"/>
            <w:tcBorders>
              <w:top w:val="single" w:sz="4" w:space="0" w:color="auto"/>
              <w:left w:val="nil"/>
              <w:bottom w:val="single" w:sz="4" w:space="0" w:color="auto"/>
              <w:right w:val="nil"/>
            </w:tcBorders>
            <w:shd w:val="clear" w:color="auto" w:fill="auto"/>
            <w:noWrap/>
            <w:vAlign w:val="center"/>
            <w:hideMark/>
          </w:tcPr>
          <w:p w:rsidR="00D67C65" w:rsidRPr="003D2124" w:rsidRDefault="00D67C65" w:rsidP="00D67C65">
            <w:pPr>
              <w:widowControl/>
              <w:spacing w:after="0"/>
              <w:jc w:val="center"/>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2009</w:t>
            </w:r>
            <w:r w:rsidRPr="003D2124">
              <w:rPr>
                <w:rFonts w:ascii="Times New Roman" w:eastAsia="ＭＳ Ｐゴシック" w:hAnsi="Times New Roman" w:cs="Times New Roman"/>
                <w:color w:val="000000"/>
                <w:kern w:val="0"/>
                <w:sz w:val="18"/>
                <w:szCs w:val="18"/>
              </w:rPr>
              <w:t>年</w:t>
            </w:r>
          </w:p>
        </w:tc>
        <w:tc>
          <w:tcPr>
            <w:tcW w:w="1405" w:type="dxa"/>
            <w:gridSpan w:val="2"/>
            <w:tcBorders>
              <w:top w:val="single" w:sz="4" w:space="0" w:color="auto"/>
              <w:left w:val="nil"/>
              <w:bottom w:val="single" w:sz="4" w:space="0" w:color="auto"/>
              <w:right w:val="nil"/>
            </w:tcBorders>
            <w:shd w:val="clear" w:color="auto" w:fill="auto"/>
            <w:noWrap/>
            <w:vAlign w:val="center"/>
            <w:hideMark/>
          </w:tcPr>
          <w:p w:rsidR="00D67C65" w:rsidRPr="003D2124" w:rsidRDefault="00D67C65" w:rsidP="00D67C65">
            <w:pPr>
              <w:widowControl/>
              <w:spacing w:after="0"/>
              <w:jc w:val="center"/>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2010</w:t>
            </w:r>
            <w:r w:rsidRPr="003D2124">
              <w:rPr>
                <w:rFonts w:ascii="Times New Roman" w:eastAsia="ＭＳ Ｐゴシック" w:hAnsi="Times New Roman" w:cs="Times New Roman"/>
                <w:color w:val="000000"/>
                <w:kern w:val="0"/>
                <w:sz w:val="18"/>
                <w:szCs w:val="18"/>
              </w:rPr>
              <w:t>年</w:t>
            </w:r>
          </w:p>
        </w:tc>
        <w:tc>
          <w:tcPr>
            <w:tcW w:w="1405" w:type="dxa"/>
            <w:gridSpan w:val="2"/>
            <w:tcBorders>
              <w:top w:val="single" w:sz="4" w:space="0" w:color="auto"/>
              <w:left w:val="nil"/>
              <w:bottom w:val="single" w:sz="4" w:space="0" w:color="auto"/>
              <w:right w:val="nil"/>
            </w:tcBorders>
            <w:shd w:val="clear" w:color="auto" w:fill="auto"/>
            <w:noWrap/>
            <w:vAlign w:val="center"/>
            <w:hideMark/>
          </w:tcPr>
          <w:p w:rsidR="00D67C65" w:rsidRPr="003D2124" w:rsidRDefault="00D67C65" w:rsidP="00D67C65">
            <w:pPr>
              <w:widowControl/>
              <w:spacing w:after="0"/>
              <w:jc w:val="center"/>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2011</w:t>
            </w:r>
            <w:r w:rsidRPr="003D2124">
              <w:rPr>
                <w:rFonts w:ascii="Times New Roman" w:eastAsia="ＭＳ Ｐゴシック" w:hAnsi="Times New Roman" w:cs="Times New Roman"/>
                <w:color w:val="000000"/>
                <w:kern w:val="0"/>
                <w:sz w:val="18"/>
                <w:szCs w:val="18"/>
              </w:rPr>
              <w:t>年</w:t>
            </w:r>
          </w:p>
        </w:tc>
        <w:tc>
          <w:tcPr>
            <w:tcW w:w="1405" w:type="dxa"/>
            <w:gridSpan w:val="2"/>
            <w:tcBorders>
              <w:top w:val="single" w:sz="4" w:space="0" w:color="auto"/>
              <w:left w:val="nil"/>
              <w:bottom w:val="single" w:sz="4" w:space="0" w:color="auto"/>
              <w:right w:val="nil"/>
            </w:tcBorders>
            <w:shd w:val="clear" w:color="auto" w:fill="auto"/>
            <w:noWrap/>
            <w:vAlign w:val="center"/>
            <w:hideMark/>
          </w:tcPr>
          <w:p w:rsidR="00D67C65" w:rsidRPr="003D2124" w:rsidRDefault="00D67C65" w:rsidP="00D67C65">
            <w:pPr>
              <w:widowControl/>
              <w:spacing w:after="0"/>
              <w:jc w:val="center"/>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2012</w:t>
            </w:r>
            <w:r w:rsidRPr="003D2124">
              <w:rPr>
                <w:rFonts w:ascii="Times New Roman" w:eastAsia="ＭＳ Ｐゴシック" w:hAnsi="Times New Roman" w:cs="Times New Roman"/>
                <w:color w:val="000000"/>
                <w:kern w:val="0"/>
                <w:sz w:val="18"/>
                <w:szCs w:val="18"/>
              </w:rPr>
              <w:t>年</w:t>
            </w:r>
          </w:p>
        </w:tc>
      </w:tr>
      <w:tr w:rsidR="00D67C65" w:rsidRPr="003D2124" w:rsidTr="00D67C65">
        <w:trPr>
          <w:trHeight w:val="270"/>
        </w:trPr>
        <w:tc>
          <w:tcPr>
            <w:tcW w:w="2602" w:type="dxa"/>
            <w:tcBorders>
              <w:top w:val="nil"/>
              <w:left w:val="nil"/>
              <w:bottom w:val="nil"/>
              <w:right w:val="single" w:sz="4" w:space="0" w:color="auto"/>
            </w:tcBorders>
            <w:shd w:val="clear" w:color="auto" w:fill="auto"/>
            <w:noWrap/>
            <w:vAlign w:val="center"/>
            <w:hideMark/>
          </w:tcPr>
          <w:p w:rsidR="00D67C65" w:rsidRPr="00A722C2" w:rsidRDefault="00D67C65" w:rsidP="00D67C65">
            <w:pPr>
              <w:widowControl/>
              <w:spacing w:after="0"/>
              <w:jc w:val="left"/>
              <w:rPr>
                <w:rFonts w:asciiTheme="minorEastAsia" w:hAnsiTheme="minorEastAsia" w:cs="Times New Roman"/>
                <w:color w:val="000000"/>
                <w:kern w:val="0"/>
                <w:sz w:val="20"/>
                <w:szCs w:val="20"/>
              </w:rPr>
            </w:pPr>
            <w:r w:rsidRPr="00A722C2">
              <w:rPr>
                <w:rFonts w:asciiTheme="minorEastAsia" w:hAnsiTheme="minorEastAsia" w:cs="Times New Roman"/>
                <w:color w:val="000000"/>
                <w:kern w:val="0"/>
                <w:sz w:val="20"/>
                <w:szCs w:val="20"/>
              </w:rPr>
              <w:t>純利子所得</w:t>
            </w:r>
          </w:p>
        </w:tc>
        <w:tc>
          <w:tcPr>
            <w:tcW w:w="727"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939.6 </w:t>
            </w:r>
          </w:p>
        </w:tc>
        <w:tc>
          <w:tcPr>
            <w:tcW w:w="678"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65.2%</w:t>
            </w:r>
          </w:p>
        </w:tc>
        <w:tc>
          <w:tcPr>
            <w:tcW w:w="727"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1,047.3 </w:t>
            </w:r>
          </w:p>
        </w:tc>
        <w:tc>
          <w:tcPr>
            <w:tcW w:w="678"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70.2%</w:t>
            </w:r>
          </w:p>
        </w:tc>
        <w:tc>
          <w:tcPr>
            <w:tcW w:w="727"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1,017.0 </w:t>
            </w:r>
          </w:p>
        </w:tc>
        <w:tc>
          <w:tcPr>
            <w:tcW w:w="678"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70.3%</w:t>
            </w:r>
          </w:p>
        </w:tc>
        <w:tc>
          <w:tcPr>
            <w:tcW w:w="727"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886.2 </w:t>
            </w:r>
          </w:p>
        </w:tc>
        <w:tc>
          <w:tcPr>
            <w:tcW w:w="678"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56.6%</w:t>
            </w:r>
          </w:p>
        </w:tc>
      </w:tr>
      <w:tr w:rsidR="00D67C65" w:rsidRPr="003D2124" w:rsidTr="00D67C65">
        <w:trPr>
          <w:trHeight w:val="270"/>
        </w:trPr>
        <w:tc>
          <w:tcPr>
            <w:tcW w:w="2602" w:type="dxa"/>
            <w:tcBorders>
              <w:top w:val="nil"/>
              <w:left w:val="nil"/>
              <w:bottom w:val="nil"/>
              <w:right w:val="single" w:sz="4" w:space="0" w:color="auto"/>
            </w:tcBorders>
            <w:shd w:val="clear" w:color="auto" w:fill="auto"/>
            <w:noWrap/>
            <w:vAlign w:val="center"/>
            <w:hideMark/>
          </w:tcPr>
          <w:p w:rsidR="00D67C65" w:rsidRPr="00A722C2" w:rsidRDefault="00D67C65" w:rsidP="00D67C65">
            <w:pPr>
              <w:widowControl/>
              <w:spacing w:after="0"/>
              <w:jc w:val="left"/>
              <w:rPr>
                <w:rFonts w:asciiTheme="minorEastAsia" w:hAnsiTheme="minorEastAsia" w:cs="Times New Roman"/>
                <w:color w:val="000000"/>
                <w:kern w:val="0"/>
                <w:sz w:val="20"/>
                <w:szCs w:val="20"/>
              </w:rPr>
            </w:pPr>
            <w:r w:rsidRPr="00A722C2">
              <w:rPr>
                <w:rFonts w:asciiTheme="minorEastAsia" w:hAnsiTheme="minorEastAsia" w:cs="Times New Roman"/>
                <w:color w:val="000000"/>
                <w:kern w:val="0"/>
                <w:sz w:val="20"/>
                <w:szCs w:val="20"/>
              </w:rPr>
              <w:t>純非利子所得</w:t>
            </w:r>
          </w:p>
        </w:tc>
        <w:tc>
          <w:tcPr>
            <w:tcW w:w="727"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500.5 </w:t>
            </w:r>
          </w:p>
        </w:tc>
        <w:tc>
          <w:tcPr>
            <w:tcW w:w="678"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34.8%</w:t>
            </w:r>
          </w:p>
        </w:tc>
        <w:tc>
          <w:tcPr>
            <w:tcW w:w="727"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443.7 </w:t>
            </w:r>
          </w:p>
        </w:tc>
        <w:tc>
          <w:tcPr>
            <w:tcW w:w="678"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29.8%</w:t>
            </w:r>
          </w:p>
        </w:tc>
        <w:tc>
          <w:tcPr>
            <w:tcW w:w="727"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429.3 </w:t>
            </w:r>
          </w:p>
        </w:tc>
        <w:tc>
          <w:tcPr>
            <w:tcW w:w="678"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29.7%</w:t>
            </w:r>
          </w:p>
        </w:tc>
        <w:tc>
          <w:tcPr>
            <w:tcW w:w="727"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679.7 </w:t>
            </w:r>
          </w:p>
        </w:tc>
        <w:tc>
          <w:tcPr>
            <w:tcW w:w="678"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43.4%</w:t>
            </w:r>
          </w:p>
        </w:tc>
      </w:tr>
      <w:tr w:rsidR="00D67C65" w:rsidRPr="003D2124" w:rsidTr="00D67C65">
        <w:trPr>
          <w:trHeight w:val="270"/>
        </w:trPr>
        <w:tc>
          <w:tcPr>
            <w:tcW w:w="2602" w:type="dxa"/>
            <w:tcBorders>
              <w:top w:val="nil"/>
              <w:left w:val="nil"/>
              <w:bottom w:val="dotted" w:sz="4" w:space="0" w:color="auto"/>
              <w:right w:val="single" w:sz="4" w:space="0" w:color="auto"/>
            </w:tcBorders>
            <w:shd w:val="clear" w:color="auto" w:fill="auto"/>
            <w:noWrap/>
            <w:vAlign w:val="center"/>
            <w:hideMark/>
          </w:tcPr>
          <w:p w:rsidR="00D67C65" w:rsidRPr="00A722C2" w:rsidRDefault="00D67C65" w:rsidP="00D67C65">
            <w:pPr>
              <w:widowControl/>
              <w:spacing w:after="0"/>
              <w:jc w:val="left"/>
              <w:rPr>
                <w:rFonts w:asciiTheme="minorEastAsia" w:hAnsiTheme="minorEastAsia" w:cs="Times New Roman"/>
                <w:color w:val="000000"/>
                <w:kern w:val="0"/>
                <w:sz w:val="20"/>
                <w:szCs w:val="20"/>
              </w:rPr>
            </w:pPr>
            <w:r w:rsidRPr="00A722C2">
              <w:rPr>
                <w:rFonts w:asciiTheme="minorEastAsia" w:hAnsiTheme="minorEastAsia" w:cs="Times New Roman"/>
                <w:color w:val="000000"/>
                <w:kern w:val="0"/>
                <w:sz w:val="20"/>
                <w:szCs w:val="20"/>
              </w:rPr>
              <w:t>総所得</w:t>
            </w:r>
          </w:p>
        </w:tc>
        <w:tc>
          <w:tcPr>
            <w:tcW w:w="727" w:type="dxa"/>
            <w:tcBorders>
              <w:top w:val="nil"/>
              <w:left w:val="nil"/>
              <w:bottom w:val="dotted" w:sz="4" w:space="0" w:color="auto"/>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1,440.2 </w:t>
            </w:r>
          </w:p>
        </w:tc>
        <w:tc>
          <w:tcPr>
            <w:tcW w:w="678" w:type="dxa"/>
            <w:tcBorders>
              <w:top w:val="nil"/>
              <w:left w:val="nil"/>
              <w:bottom w:val="dotted" w:sz="4" w:space="0" w:color="auto"/>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100.0%</w:t>
            </w:r>
          </w:p>
        </w:tc>
        <w:tc>
          <w:tcPr>
            <w:tcW w:w="727" w:type="dxa"/>
            <w:tcBorders>
              <w:top w:val="nil"/>
              <w:left w:val="nil"/>
              <w:bottom w:val="dotted" w:sz="4" w:space="0" w:color="auto"/>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1,491.0 </w:t>
            </w:r>
          </w:p>
        </w:tc>
        <w:tc>
          <w:tcPr>
            <w:tcW w:w="678" w:type="dxa"/>
            <w:tcBorders>
              <w:top w:val="nil"/>
              <w:left w:val="nil"/>
              <w:bottom w:val="dotted" w:sz="4" w:space="0" w:color="auto"/>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100.0%</w:t>
            </w:r>
          </w:p>
        </w:tc>
        <w:tc>
          <w:tcPr>
            <w:tcW w:w="727" w:type="dxa"/>
            <w:tcBorders>
              <w:top w:val="nil"/>
              <w:left w:val="nil"/>
              <w:bottom w:val="dotted" w:sz="4" w:space="0" w:color="auto"/>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1,446.8 </w:t>
            </w:r>
          </w:p>
        </w:tc>
        <w:tc>
          <w:tcPr>
            <w:tcW w:w="678" w:type="dxa"/>
            <w:tcBorders>
              <w:top w:val="nil"/>
              <w:left w:val="nil"/>
              <w:bottom w:val="dotted" w:sz="4" w:space="0" w:color="auto"/>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100.0%</w:t>
            </w:r>
          </w:p>
        </w:tc>
        <w:tc>
          <w:tcPr>
            <w:tcW w:w="727" w:type="dxa"/>
            <w:tcBorders>
              <w:top w:val="nil"/>
              <w:left w:val="nil"/>
              <w:bottom w:val="dotted" w:sz="4" w:space="0" w:color="auto"/>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1,565.9 </w:t>
            </w:r>
          </w:p>
        </w:tc>
        <w:tc>
          <w:tcPr>
            <w:tcW w:w="678" w:type="dxa"/>
            <w:tcBorders>
              <w:top w:val="nil"/>
              <w:left w:val="nil"/>
              <w:bottom w:val="dotted" w:sz="4" w:space="0" w:color="auto"/>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100.0%</w:t>
            </w:r>
          </w:p>
        </w:tc>
      </w:tr>
      <w:tr w:rsidR="00D67C65" w:rsidRPr="003D2124" w:rsidTr="00D67C65">
        <w:trPr>
          <w:trHeight w:val="270"/>
        </w:trPr>
        <w:tc>
          <w:tcPr>
            <w:tcW w:w="2602" w:type="dxa"/>
            <w:tcBorders>
              <w:top w:val="nil"/>
              <w:left w:val="nil"/>
              <w:bottom w:val="nil"/>
              <w:right w:val="single" w:sz="4" w:space="0" w:color="auto"/>
            </w:tcBorders>
            <w:shd w:val="clear" w:color="auto" w:fill="auto"/>
            <w:noWrap/>
            <w:vAlign w:val="center"/>
            <w:hideMark/>
          </w:tcPr>
          <w:p w:rsidR="00D67C65" w:rsidRPr="00A722C2" w:rsidRDefault="00D67C65" w:rsidP="00D67C65">
            <w:pPr>
              <w:widowControl/>
              <w:spacing w:after="0"/>
              <w:jc w:val="left"/>
              <w:rPr>
                <w:rFonts w:asciiTheme="minorEastAsia" w:hAnsiTheme="minorEastAsia" w:cs="Times New Roman"/>
                <w:color w:val="000000"/>
                <w:kern w:val="0"/>
                <w:sz w:val="20"/>
                <w:szCs w:val="20"/>
              </w:rPr>
            </w:pPr>
            <w:r w:rsidRPr="00A722C2">
              <w:rPr>
                <w:rFonts w:asciiTheme="minorEastAsia" w:hAnsiTheme="minorEastAsia" w:cs="Times New Roman"/>
                <w:color w:val="000000"/>
                <w:kern w:val="0"/>
                <w:sz w:val="20"/>
                <w:szCs w:val="20"/>
              </w:rPr>
              <w:t>営業費用</w:t>
            </w:r>
          </w:p>
        </w:tc>
        <w:tc>
          <w:tcPr>
            <w:tcW w:w="727"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770.0 </w:t>
            </w:r>
          </w:p>
        </w:tc>
        <w:tc>
          <w:tcPr>
            <w:tcW w:w="678"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54.0%</w:t>
            </w:r>
          </w:p>
        </w:tc>
        <w:tc>
          <w:tcPr>
            <w:tcW w:w="727"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778.7 </w:t>
            </w:r>
          </w:p>
        </w:tc>
        <w:tc>
          <w:tcPr>
            <w:tcW w:w="678"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52.2%</w:t>
            </w:r>
          </w:p>
        </w:tc>
        <w:tc>
          <w:tcPr>
            <w:tcW w:w="727"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776.6 </w:t>
            </w:r>
          </w:p>
        </w:tc>
        <w:tc>
          <w:tcPr>
            <w:tcW w:w="678"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53.4%</w:t>
            </w:r>
          </w:p>
        </w:tc>
        <w:tc>
          <w:tcPr>
            <w:tcW w:w="727"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742.7 </w:t>
            </w:r>
          </w:p>
        </w:tc>
        <w:tc>
          <w:tcPr>
            <w:tcW w:w="678"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47.1%</w:t>
            </w:r>
          </w:p>
        </w:tc>
      </w:tr>
      <w:tr w:rsidR="00D67C65" w:rsidRPr="003D2124" w:rsidTr="00D67C65">
        <w:trPr>
          <w:trHeight w:val="270"/>
        </w:trPr>
        <w:tc>
          <w:tcPr>
            <w:tcW w:w="2602" w:type="dxa"/>
            <w:tcBorders>
              <w:top w:val="nil"/>
              <w:left w:val="nil"/>
              <w:bottom w:val="nil"/>
              <w:right w:val="single" w:sz="4" w:space="0" w:color="auto"/>
            </w:tcBorders>
            <w:shd w:val="clear" w:color="auto" w:fill="auto"/>
            <w:noWrap/>
            <w:vAlign w:val="center"/>
            <w:hideMark/>
          </w:tcPr>
          <w:p w:rsidR="00D67C65" w:rsidRPr="00A722C2" w:rsidRDefault="00D67C65" w:rsidP="00D67C65">
            <w:pPr>
              <w:widowControl/>
              <w:spacing w:after="0"/>
              <w:jc w:val="left"/>
              <w:rPr>
                <w:rFonts w:asciiTheme="minorEastAsia" w:hAnsiTheme="minorEastAsia" w:cs="Times New Roman"/>
                <w:color w:val="000000"/>
                <w:kern w:val="0"/>
                <w:sz w:val="20"/>
                <w:szCs w:val="20"/>
              </w:rPr>
            </w:pPr>
            <w:r w:rsidRPr="00A722C2">
              <w:rPr>
                <w:rFonts w:asciiTheme="minorEastAsia" w:hAnsiTheme="minorEastAsia" w:cs="Times New Roman"/>
                <w:color w:val="000000"/>
                <w:kern w:val="0"/>
                <w:sz w:val="20"/>
                <w:szCs w:val="20"/>
              </w:rPr>
              <w:t>人件費</w:t>
            </w:r>
          </w:p>
        </w:tc>
        <w:tc>
          <w:tcPr>
            <w:tcW w:w="727"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422.3 </w:t>
            </w:r>
          </w:p>
        </w:tc>
        <w:tc>
          <w:tcPr>
            <w:tcW w:w="678"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29.3%</w:t>
            </w:r>
          </w:p>
        </w:tc>
        <w:tc>
          <w:tcPr>
            <w:tcW w:w="727"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420.5 </w:t>
            </w:r>
          </w:p>
        </w:tc>
        <w:tc>
          <w:tcPr>
            <w:tcW w:w="678"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28.2%</w:t>
            </w:r>
          </w:p>
        </w:tc>
        <w:tc>
          <w:tcPr>
            <w:tcW w:w="727"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416.4 </w:t>
            </w:r>
          </w:p>
        </w:tc>
        <w:tc>
          <w:tcPr>
            <w:tcW w:w="678"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28.8%</w:t>
            </w:r>
          </w:p>
        </w:tc>
        <w:tc>
          <w:tcPr>
            <w:tcW w:w="727"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399.6 </w:t>
            </w:r>
          </w:p>
        </w:tc>
        <w:tc>
          <w:tcPr>
            <w:tcW w:w="678"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25.5%</w:t>
            </w:r>
          </w:p>
        </w:tc>
      </w:tr>
      <w:tr w:rsidR="00D67C65" w:rsidRPr="003D2124" w:rsidTr="00D67C65">
        <w:trPr>
          <w:trHeight w:val="270"/>
        </w:trPr>
        <w:tc>
          <w:tcPr>
            <w:tcW w:w="2602" w:type="dxa"/>
            <w:tcBorders>
              <w:top w:val="nil"/>
              <w:left w:val="nil"/>
              <w:bottom w:val="nil"/>
              <w:right w:val="single" w:sz="4" w:space="0" w:color="auto"/>
            </w:tcBorders>
            <w:shd w:val="clear" w:color="auto" w:fill="auto"/>
            <w:noWrap/>
            <w:vAlign w:val="center"/>
            <w:hideMark/>
          </w:tcPr>
          <w:p w:rsidR="00D67C65" w:rsidRPr="00A722C2" w:rsidRDefault="00D67C65" w:rsidP="00D67C65">
            <w:pPr>
              <w:widowControl/>
              <w:spacing w:after="0"/>
              <w:jc w:val="left"/>
              <w:rPr>
                <w:rFonts w:asciiTheme="minorEastAsia" w:hAnsiTheme="minorEastAsia" w:cs="Times New Roman"/>
                <w:color w:val="000000"/>
                <w:kern w:val="0"/>
                <w:sz w:val="20"/>
                <w:szCs w:val="20"/>
              </w:rPr>
            </w:pPr>
            <w:r w:rsidRPr="00A722C2">
              <w:rPr>
                <w:rFonts w:asciiTheme="minorEastAsia" w:hAnsiTheme="minorEastAsia" w:cs="Times New Roman"/>
                <w:color w:val="000000"/>
                <w:kern w:val="0"/>
                <w:sz w:val="20"/>
                <w:szCs w:val="20"/>
              </w:rPr>
              <w:t>純所得</w:t>
            </w:r>
          </w:p>
        </w:tc>
        <w:tc>
          <w:tcPr>
            <w:tcW w:w="727"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663.2 </w:t>
            </w:r>
          </w:p>
        </w:tc>
        <w:tc>
          <w:tcPr>
            <w:tcW w:w="678"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46.0%</w:t>
            </w:r>
          </w:p>
        </w:tc>
        <w:tc>
          <w:tcPr>
            <w:tcW w:w="727"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712.4 </w:t>
            </w:r>
          </w:p>
        </w:tc>
        <w:tc>
          <w:tcPr>
            <w:tcW w:w="678"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47.8%</w:t>
            </w:r>
          </w:p>
        </w:tc>
        <w:tc>
          <w:tcPr>
            <w:tcW w:w="727"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670.2 </w:t>
            </w:r>
          </w:p>
        </w:tc>
        <w:tc>
          <w:tcPr>
            <w:tcW w:w="678"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46.3%</w:t>
            </w:r>
          </w:p>
        </w:tc>
        <w:tc>
          <w:tcPr>
            <w:tcW w:w="727"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823.2 </w:t>
            </w:r>
          </w:p>
        </w:tc>
        <w:tc>
          <w:tcPr>
            <w:tcW w:w="678"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52.6%</w:t>
            </w:r>
          </w:p>
        </w:tc>
      </w:tr>
      <w:tr w:rsidR="00D67C65" w:rsidRPr="003D2124" w:rsidTr="00D67C65">
        <w:trPr>
          <w:trHeight w:val="270"/>
        </w:trPr>
        <w:tc>
          <w:tcPr>
            <w:tcW w:w="2602" w:type="dxa"/>
            <w:tcBorders>
              <w:top w:val="nil"/>
              <w:left w:val="nil"/>
              <w:bottom w:val="dotted" w:sz="4" w:space="0" w:color="auto"/>
              <w:right w:val="single" w:sz="4" w:space="0" w:color="auto"/>
            </w:tcBorders>
            <w:shd w:val="clear" w:color="auto" w:fill="auto"/>
            <w:noWrap/>
            <w:vAlign w:val="center"/>
            <w:hideMark/>
          </w:tcPr>
          <w:p w:rsidR="00D67C65" w:rsidRPr="00A722C2" w:rsidRDefault="00D67C65" w:rsidP="00D67C65">
            <w:pPr>
              <w:widowControl/>
              <w:spacing w:after="0"/>
              <w:jc w:val="left"/>
              <w:rPr>
                <w:rFonts w:asciiTheme="minorEastAsia" w:hAnsiTheme="minorEastAsia" w:cs="Times New Roman"/>
                <w:color w:val="000000"/>
                <w:kern w:val="0"/>
                <w:sz w:val="20"/>
                <w:szCs w:val="20"/>
              </w:rPr>
            </w:pPr>
            <w:r w:rsidRPr="00A722C2">
              <w:rPr>
                <w:rFonts w:asciiTheme="minorEastAsia" w:hAnsiTheme="minorEastAsia" w:cs="Times New Roman"/>
                <w:color w:val="000000"/>
                <w:kern w:val="0"/>
                <w:sz w:val="20"/>
                <w:szCs w:val="20"/>
              </w:rPr>
              <w:t>引当金および減損処理</w:t>
            </w:r>
          </w:p>
        </w:tc>
        <w:tc>
          <w:tcPr>
            <w:tcW w:w="727" w:type="dxa"/>
            <w:tcBorders>
              <w:top w:val="nil"/>
              <w:left w:val="nil"/>
              <w:bottom w:val="dotted" w:sz="4" w:space="0" w:color="auto"/>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501.0 </w:t>
            </w:r>
          </w:p>
        </w:tc>
        <w:tc>
          <w:tcPr>
            <w:tcW w:w="678" w:type="dxa"/>
            <w:tcBorders>
              <w:top w:val="nil"/>
              <w:left w:val="nil"/>
              <w:bottom w:val="dotted" w:sz="4" w:space="0" w:color="auto"/>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34.8%</w:t>
            </w:r>
          </w:p>
        </w:tc>
        <w:tc>
          <w:tcPr>
            <w:tcW w:w="727" w:type="dxa"/>
            <w:tcBorders>
              <w:top w:val="nil"/>
              <w:left w:val="nil"/>
              <w:bottom w:val="dotted" w:sz="4" w:space="0" w:color="auto"/>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811.3 </w:t>
            </w:r>
          </w:p>
        </w:tc>
        <w:tc>
          <w:tcPr>
            <w:tcW w:w="678" w:type="dxa"/>
            <w:tcBorders>
              <w:top w:val="nil"/>
              <w:left w:val="nil"/>
              <w:bottom w:val="dotted" w:sz="4" w:space="0" w:color="auto"/>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54.4%</w:t>
            </w:r>
          </w:p>
        </w:tc>
        <w:tc>
          <w:tcPr>
            <w:tcW w:w="727" w:type="dxa"/>
            <w:tcBorders>
              <w:top w:val="nil"/>
              <w:left w:val="nil"/>
              <w:bottom w:val="dotted" w:sz="4" w:space="0" w:color="auto"/>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1,206.8 </w:t>
            </w:r>
          </w:p>
        </w:tc>
        <w:tc>
          <w:tcPr>
            <w:tcW w:w="678" w:type="dxa"/>
            <w:tcBorders>
              <w:top w:val="nil"/>
              <w:left w:val="nil"/>
              <w:bottom w:val="dotted" w:sz="4" w:space="0" w:color="auto"/>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83.4%</w:t>
            </w:r>
          </w:p>
        </w:tc>
        <w:tc>
          <w:tcPr>
            <w:tcW w:w="727" w:type="dxa"/>
            <w:tcBorders>
              <w:top w:val="nil"/>
              <w:left w:val="nil"/>
              <w:bottom w:val="dotted" w:sz="4" w:space="0" w:color="auto"/>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1,592.0 </w:t>
            </w:r>
          </w:p>
        </w:tc>
        <w:tc>
          <w:tcPr>
            <w:tcW w:w="678" w:type="dxa"/>
            <w:tcBorders>
              <w:top w:val="nil"/>
              <w:left w:val="nil"/>
              <w:bottom w:val="dotted" w:sz="4" w:space="0" w:color="auto"/>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101.7%</w:t>
            </w:r>
          </w:p>
        </w:tc>
      </w:tr>
      <w:tr w:rsidR="00D67C65" w:rsidRPr="003D2124" w:rsidTr="00D67C65">
        <w:trPr>
          <w:trHeight w:val="270"/>
        </w:trPr>
        <w:tc>
          <w:tcPr>
            <w:tcW w:w="2602" w:type="dxa"/>
            <w:tcBorders>
              <w:top w:val="nil"/>
              <w:left w:val="nil"/>
              <w:bottom w:val="nil"/>
              <w:right w:val="single" w:sz="4" w:space="0" w:color="auto"/>
            </w:tcBorders>
            <w:shd w:val="clear" w:color="auto" w:fill="auto"/>
            <w:noWrap/>
            <w:vAlign w:val="center"/>
            <w:hideMark/>
          </w:tcPr>
          <w:p w:rsidR="00D67C65" w:rsidRPr="00A722C2" w:rsidRDefault="00D67C65" w:rsidP="00D67C65">
            <w:pPr>
              <w:widowControl/>
              <w:spacing w:after="0"/>
              <w:jc w:val="left"/>
              <w:rPr>
                <w:rFonts w:asciiTheme="minorEastAsia" w:hAnsiTheme="minorEastAsia" w:cs="Times New Roman"/>
                <w:color w:val="000000"/>
                <w:kern w:val="0"/>
                <w:sz w:val="20"/>
                <w:szCs w:val="20"/>
              </w:rPr>
            </w:pPr>
            <w:r w:rsidRPr="00A722C2">
              <w:rPr>
                <w:rFonts w:asciiTheme="minorEastAsia" w:hAnsiTheme="minorEastAsia" w:cs="Times New Roman"/>
                <w:color w:val="000000"/>
                <w:kern w:val="0"/>
                <w:sz w:val="20"/>
                <w:szCs w:val="20"/>
              </w:rPr>
              <w:t>税引き前の利益</w:t>
            </w:r>
          </w:p>
        </w:tc>
        <w:tc>
          <w:tcPr>
            <w:tcW w:w="727"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162.1 </w:t>
            </w:r>
          </w:p>
        </w:tc>
        <w:tc>
          <w:tcPr>
            <w:tcW w:w="678"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11.3%</w:t>
            </w:r>
          </w:p>
        </w:tc>
        <w:tc>
          <w:tcPr>
            <w:tcW w:w="727"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-98.9 </w:t>
            </w:r>
          </w:p>
        </w:tc>
        <w:tc>
          <w:tcPr>
            <w:tcW w:w="678"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-6.6%</w:t>
            </w:r>
          </w:p>
        </w:tc>
        <w:tc>
          <w:tcPr>
            <w:tcW w:w="727"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-536.5 </w:t>
            </w:r>
          </w:p>
        </w:tc>
        <w:tc>
          <w:tcPr>
            <w:tcW w:w="678"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-37.1%</w:t>
            </w:r>
          </w:p>
        </w:tc>
        <w:tc>
          <w:tcPr>
            <w:tcW w:w="727"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-768.7 </w:t>
            </w:r>
          </w:p>
        </w:tc>
        <w:tc>
          <w:tcPr>
            <w:tcW w:w="678"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-49.1%</w:t>
            </w:r>
          </w:p>
        </w:tc>
      </w:tr>
      <w:tr w:rsidR="00D67C65" w:rsidRPr="003D2124" w:rsidTr="00D67C65">
        <w:trPr>
          <w:trHeight w:val="270"/>
        </w:trPr>
        <w:tc>
          <w:tcPr>
            <w:tcW w:w="2602" w:type="dxa"/>
            <w:tcBorders>
              <w:top w:val="nil"/>
              <w:left w:val="nil"/>
              <w:bottom w:val="nil"/>
              <w:right w:val="single" w:sz="4" w:space="0" w:color="auto"/>
            </w:tcBorders>
            <w:shd w:val="clear" w:color="auto" w:fill="auto"/>
            <w:noWrap/>
            <w:vAlign w:val="center"/>
            <w:hideMark/>
          </w:tcPr>
          <w:p w:rsidR="00D67C65" w:rsidRPr="00A722C2" w:rsidRDefault="00D67C65" w:rsidP="00D67C65">
            <w:pPr>
              <w:widowControl/>
              <w:spacing w:after="0"/>
              <w:jc w:val="left"/>
              <w:rPr>
                <w:rFonts w:asciiTheme="minorEastAsia" w:hAnsiTheme="minorEastAsia" w:cs="Times New Roman"/>
                <w:color w:val="000000"/>
                <w:kern w:val="0"/>
                <w:sz w:val="20"/>
                <w:szCs w:val="20"/>
              </w:rPr>
            </w:pPr>
            <w:r w:rsidRPr="00A722C2">
              <w:rPr>
                <w:rFonts w:asciiTheme="minorEastAsia" w:hAnsiTheme="minorEastAsia" w:cs="Times New Roman"/>
                <w:color w:val="000000"/>
                <w:kern w:val="0"/>
                <w:sz w:val="20"/>
                <w:szCs w:val="20"/>
              </w:rPr>
              <w:t>租税</w:t>
            </w:r>
          </w:p>
        </w:tc>
        <w:tc>
          <w:tcPr>
            <w:tcW w:w="727"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-39.1 </w:t>
            </w:r>
          </w:p>
        </w:tc>
        <w:tc>
          <w:tcPr>
            <w:tcW w:w="678"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-2.7%</w:t>
            </w:r>
          </w:p>
        </w:tc>
        <w:tc>
          <w:tcPr>
            <w:tcW w:w="727"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2.6 </w:t>
            </w:r>
          </w:p>
        </w:tc>
        <w:tc>
          <w:tcPr>
            <w:tcW w:w="678"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0.2%</w:t>
            </w:r>
          </w:p>
        </w:tc>
        <w:tc>
          <w:tcPr>
            <w:tcW w:w="727"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94.5 </w:t>
            </w:r>
          </w:p>
        </w:tc>
        <w:tc>
          <w:tcPr>
            <w:tcW w:w="678"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6.5%</w:t>
            </w:r>
          </w:p>
        </w:tc>
        <w:tc>
          <w:tcPr>
            <w:tcW w:w="727"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22.1 </w:t>
            </w:r>
          </w:p>
        </w:tc>
        <w:tc>
          <w:tcPr>
            <w:tcW w:w="678"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1.4%</w:t>
            </w:r>
          </w:p>
        </w:tc>
      </w:tr>
      <w:tr w:rsidR="00D67C65" w:rsidRPr="003D2124" w:rsidTr="00D67C65">
        <w:trPr>
          <w:trHeight w:val="270"/>
        </w:trPr>
        <w:tc>
          <w:tcPr>
            <w:tcW w:w="2602" w:type="dxa"/>
            <w:tcBorders>
              <w:top w:val="nil"/>
              <w:left w:val="nil"/>
              <w:bottom w:val="single" w:sz="4" w:space="0" w:color="auto"/>
              <w:right w:val="single" w:sz="4" w:space="0" w:color="auto"/>
            </w:tcBorders>
            <w:shd w:val="clear" w:color="auto" w:fill="auto"/>
            <w:noWrap/>
            <w:vAlign w:val="center"/>
            <w:hideMark/>
          </w:tcPr>
          <w:p w:rsidR="00D67C65" w:rsidRPr="00A722C2" w:rsidRDefault="00D67C65" w:rsidP="00D67C65">
            <w:pPr>
              <w:widowControl/>
              <w:spacing w:after="0"/>
              <w:jc w:val="left"/>
              <w:rPr>
                <w:rFonts w:asciiTheme="minorEastAsia" w:hAnsiTheme="minorEastAsia" w:cs="Times New Roman"/>
                <w:color w:val="000000"/>
                <w:kern w:val="0"/>
                <w:sz w:val="20"/>
                <w:szCs w:val="20"/>
              </w:rPr>
            </w:pPr>
            <w:r w:rsidRPr="00A722C2">
              <w:rPr>
                <w:rFonts w:asciiTheme="minorEastAsia" w:hAnsiTheme="minorEastAsia" w:cs="Times New Roman"/>
                <w:color w:val="000000"/>
                <w:kern w:val="0"/>
                <w:sz w:val="20"/>
                <w:szCs w:val="20"/>
              </w:rPr>
              <w:t>純利益</w:t>
            </w:r>
          </w:p>
        </w:tc>
        <w:tc>
          <w:tcPr>
            <w:tcW w:w="727" w:type="dxa"/>
            <w:tcBorders>
              <w:top w:val="nil"/>
              <w:left w:val="nil"/>
              <w:bottom w:val="single" w:sz="4" w:space="0" w:color="auto"/>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123.0 </w:t>
            </w:r>
          </w:p>
        </w:tc>
        <w:tc>
          <w:tcPr>
            <w:tcW w:w="678" w:type="dxa"/>
            <w:tcBorders>
              <w:top w:val="nil"/>
              <w:left w:val="nil"/>
              <w:bottom w:val="single" w:sz="4" w:space="0" w:color="auto"/>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8.5%</w:t>
            </w:r>
          </w:p>
        </w:tc>
        <w:tc>
          <w:tcPr>
            <w:tcW w:w="727" w:type="dxa"/>
            <w:tcBorders>
              <w:top w:val="nil"/>
              <w:left w:val="nil"/>
              <w:bottom w:val="single" w:sz="4" w:space="0" w:color="auto"/>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-96.3 </w:t>
            </w:r>
          </w:p>
        </w:tc>
        <w:tc>
          <w:tcPr>
            <w:tcW w:w="678" w:type="dxa"/>
            <w:tcBorders>
              <w:top w:val="nil"/>
              <w:left w:val="nil"/>
              <w:bottom w:val="single" w:sz="4" w:space="0" w:color="auto"/>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-6.5%</w:t>
            </w:r>
          </w:p>
        </w:tc>
        <w:tc>
          <w:tcPr>
            <w:tcW w:w="727" w:type="dxa"/>
            <w:tcBorders>
              <w:top w:val="nil"/>
              <w:left w:val="nil"/>
              <w:bottom w:val="single" w:sz="4" w:space="0" w:color="auto"/>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-442.0 </w:t>
            </w:r>
          </w:p>
        </w:tc>
        <w:tc>
          <w:tcPr>
            <w:tcW w:w="678" w:type="dxa"/>
            <w:tcBorders>
              <w:top w:val="nil"/>
              <w:left w:val="nil"/>
              <w:bottom w:val="single" w:sz="4" w:space="0" w:color="auto"/>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-30.5%</w:t>
            </w:r>
          </w:p>
        </w:tc>
        <w:tc>
          <w:tcPr>
            <w:tcW w:w="727" w:type="dxa"/>
            <w:tcBorders>
              <w:top w:val="nil"/>
              <w:left w:val="nil"/>
              <w:bottom w:val="single" w:sz="4" w:space="0" w:color="auto"/>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 xml:space="preserve">-746.6 </w:t>
            </w:r>
          </w:p>
        </w:tc>
        <w:tc>
          <w:tcPr>
            <w:tcW w:w="678" w:type="dxa"/>
            <w:tcBorders>
              <w:top w:val="nil"/>
              <w:left w:val="nil"/>
              <w:bottom w:val="single" w:sz="4" w:space="0" w:color="auto"/>
              <w:right w:val="nil"/>
            </w:tcBorders>
            <w:shd w:val="clear" w:color="auto" w:fill="auto"/>
            <w:noWrap/>
            <w:vAlign w:val="center"/>
            <w:hideMark/>
          </w:tcPr>
          <w:p w:rsidR="00D67C65" w:rsidRPr="003D2124" w:rsidRDefault="00D67C65" w:rsidP="00D67C65">
            <w:pPr>
              <w:widowControl/>
              <w:spacing w:after="0"/>
              <w:jc w:val="right"/>
              <w:rPr>
                <w:rFonts w:ascii="Times New Roman" w:eastAsia="ＭＳ Ｐゴシック" w:hAnsi="Times New Roman" w:cs="Times New Roman"/>
                <w:color w:val="000000"/>
                <w:kern w:val="0"/>
                <w:sz w:val="18"/>
                <w:szCs w:val="18"/>
              </w:rPr>
            </w:pPr>
            <w:r w:rsidRPr="003D2124">
              <w:rPr>
                <w:rFonts w:ascii="Times New Roman" w:eastAsia="ＭＳ Ｐゴシック" w:hAnsi="Times New Roman" w:cs="Times New Roman"/>
                <w:color w:val="000000"/>
                <w:kern w:val="0"/>
                <w:sz w:val="18"/>
                <w:szCs w:val="18"/>
              </w:rPr>
              <w:t>-47.7%</w:t>
            </w:r>
          </w:p>
        </w:tc>
      </w:tr>
      <w:tr w:rsidR="00D67C65" w:rsidRPr="003D2124" w:rsidTr="00D67C65">
        <w:trPr>
          <w:trHeight w:val="270"/>
        </w:trPr>
        <w:tc>
          <w:tcPr>
            <w:tcW w:w="8222" w:type="dxa"/>
            <w:gridSpan w:val="9"/>
            <w:tcBorders>
              <w:top w:val="single" w:sz="4" w:space="0" w:color="auto"/>
              <w:left w:val="nil"/>
              <w:bottom w:val="nil"/>
              <w:right w:val="nil"/>
            </w:tcBorders>
            <w:shd w:val="clear" w:color="auto" w:fill="auto"/>
            <w:noWrap/>
            <w:vAlign w:val="center"/>
            <w:hideMark/>
          </w:tcPr>
          <w:p w:rsidR="00D67C65" w:rsidRPr="00A722C2" w:rsidRDefault="00D67C65" w:rsidP="00D67C65">
            <w:pPr>
              <w:widowControl/>
              <w:spacing w:after="0"/>
              <w:jc w:val="left"/>
              <w:rPr>
                <w:rFonts w:asciiTheme="minorEastAsia" w:hAnsiTheme="minorEastAsia" w:cs="Times New Roman"/>
                <w:color w:val="000000"/>
                <w:kern w:val="0"/>
                <w:sz w:val="20"/>
                <w:szCs w:val="20"/>
              </w:rPr>
            </w:pPr>
            <w:r w:rsidRPr="00A722C2">
              <w:rPr>
                <w:rFonts w:asciiTheme="minorEastAsia" w:hAnsiTheme="minorEastAsia" w:cs="Times New Roman"/>
                <w:color w:val="000000"/>
                <w:kern w:val="0"/>
                <w:sz w:val="20"/>
                <w:szCs w:val="20"/>
              </w:rPr>
              <w:t>備考：単位は100万ユーロ。右の欄は構成比。</w:t>
            </w:r>
          </w:p>
        </w:tc>
      </w:tr>
      <w:tr w:rsidR="00D67C65" w:rsidRPr="003D2124" w:rsidTr="00D67C65">
        <w:trPr>
          <w:trHeight w:val="270"/>
        </w:trPr>
        <w:tc>
          <w:tcPr>
            <w:tcW w:w="5412" w:type="dxa"/>
            <w:gridSpan w:val="5"/>
            <w:tcBorders>
              <w:top w:val="nil"/>
              <w:left w:val="nil"/>
              <w:bottom w:val="nil"/>
              <w:right w:val="nil"/>
            </w:tcBorders>
            <w:shd w:val="clear" w:color="auto" w:fill="auto"/>
            <w:noWrap/>
            <w:vAlign w:val="center"/>
            <w:hideMark/>
          </w:tcPr>
          <w:p w:rsidR="00D67C65" w:rsidRPr="003D2124" w:rsidRDefault="00D67C65" w:rsidP="00D67C65">
            <w:pPr>
              <w:widowControl/>
              <w:spacing w:after="0"/>
              <w:jc w:val="left"/>
              <w:rPr>
                <w:rFonts w:ascii="Times New Roman" w:eastAsia="ＭＳ Ｐゴシック" w:hAnsi="Times New Roman" w:cs="Times New Roman"/>
                <w:color w:val="000000"/>
                <w:kern w:val="0"/>
                <w:sz w:val="20"/>
                <w:szCs w:val="20"/>
              </w:rPr>
            </w:pPr>
            <w:r w:rsidRPr="003D2124">
              <w:rPr>
                <w:rFonts w:ascii="Times New Roman" w:eastAsia="ＭＳ Ｐゴシック" w:hAnsi="Times New Roman" w:cs="Times New Roman"/>
                <w:color w:val="000000"/>
                <w:kern w:val="0"/>
                <w:sz w:val="20"/>
                <w:szCs w:val="20"/>
              </w:rPr>
              <w:t>出所：</w:t>
            </w:r>
            <w:r w:rsidRPr="003D2124">
              <w:rPr>
                <w:rFonts w:ascii="Times New Roman" w:eastAsia="ＭＳ Ｐゴシック" w:hAnsi="Times New Roman" w:cs="Times New Roman"/>
                <w:color w:val="000000"/>
                <w:kern w:val="0"/>
                <w:sz w:val="20"/>
                <w:szCs w:val="20"/>
              </w:rPr>
              <w:t xml:space="preserve">Bank of Slovenia, </w:t>
            </w:r>
            <w:r w:rsidRPr="003D2124">
              <w:rPr>
                <w:rFonts w:ascii="Times New Roman" w:eastAsia="ＭＳ Ｐゴシック" w:hAnsi="Times New Roman" w:cs="Times New Roman"/>
                <w:i/>
                <w:iCs/>
                <w:color w:val="000000"/>
                <w:kern w:val="0"/>
                <w:sz w:val="20"/>
                <w:szCs w:val="20"/>
              </w:rPr>
              <w:t>Annual Report 2012</w:t>
            </w:r>
            <w:r w:rsidRPr="003D2124">
              <w:rPr>
                <w:rFonts w:ascii="Times New Roman" w:eastAsia="ＭＳ Ｐゴシック" w:hAnsi="Times New Roman" w:cs="Times New Roman"/>
                <w:color w:val="000000"/>
                <w:kern w:val="0"/>
                <w:sz w:val="20"/>
                <w:szCs w:val="20"/>
              </w:rPr>
              <w:t>, p. 22.</w:t>
            </w:r>
          </w:p>
        </w:tc>
        <w:tc>
          <w:tcPr>
            <w:tcW w:w="727"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left"/>
              <w:rPr>
                <w:rFonts w:ascii="Times New Roman" w:eastAsia="ＭＳ Ｐゴシック" w:hAnsi="Times New Roman" w:cs="Times New Roman"/>
                <w:color w:val="000000"/>
                <w:kern w:val="0"/>
                <w:sz w:val="22"/>
              </w:rPr>
            </w:pPr>
          </w:p>
        </w:tc>
        <w:tc>
          <w:tcPr>
            <w:tcW w:w="678"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left"/>
              <w:rPr>
                <w:rFonts w:ascii="Times New Roman" w:eastAsia="ＭＳ Ｐゴシック" w:hAnsi="Times New Roman" w:cs="Times New Roman"/>
                <w:color w:val="000000"/>
                <w:kern w:val="0"/>
                <w:sz w:val="22"/>
              </w:rPr>
            </w:pPr>
          </w:p>
        </w:tc>
        <w:tc>
          <w:tcPr>
            <w:tcW w:w="727"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left"/>
              <w:rPr>
                <w:rFonts w:ascii="Times New Roman" w:eastAsia="ＭＳ Ｐゴシック" w:hAnsi="Times New Roman" w:cs="Times New Roman"/>
                <w:color w:val="000000"/>
                <w:kern w:val="0"/>
                <w:sz w:val="22"/>
              </w:rPr>
            </w:pPr>
          </w:p>
        </w:tc>
        <w:tc>
          <w:tcPr>
            <w:tcW w:w="678" w:type="dxa"/>
            <w:tcBorders>
              <w:top w:val="nil"/>
              <w:left w:val="nil"/>
              <w:bottom w:val="nil"/>
              <w:right w:val="nil"/>
            </w:tcBorders>
            <w:shd w:val="clear" w:color="auto" w:fill="auto"/>
            <w:noWrap/>
            <w:vAlign w:val="center"/>
            <w:hideMark/>
          </w:tcPr>
          <w:p w:rsidR="00D67C65" w:rsidRPr="003D2124" w:rsidRDefault="00D67C65" w:rsidP="00D67C65">
            <w:pPr>
              <w:widowControl/>
              <w:spacing w:after="0"/>
              <w:jc w:val="left"/>
              <w:rPr>
                <w:rFonts w:ascii="Times New Roman" w:eastAsia="ＭＳ Ｐゴシック" w:hAnsi="Times New Roman" w:cs="Times New Roman"/>
                <w:color w:val="000000"/>
                <w:kern w:val="0"/>
                <w:sz w:val="22"/>
              </w:rPr>
            </w:pPr>
          </w:p>
        </w:tc>
      </w:tr>
    </w:tbl>
    <w:p w:rsidR="003F5502" w:rsidRDefault="003F5502">
      <w:pPr>
        <w:rPr>
          <w:rFonts w:ascii="Times New Roman" w:hAnsi="Times New Roman" w:cs="Times New Roman"/>
        </w:rPr>
      </w:pPr>
    </w:p>
    <w:p w:rsidR="009D1D00" w:rsidRDefault="009D1D00" w:rsidP="00E1323D">
      <w:pPr>
        <w:ind w:firstLineChars="100" w:firstLine="210"/>
        <w:rPr>
          <w:rFonts w:ascii="Times New Roman" w:hAnsi="Times New Roman" w:cs="Times New Roman"/>
        </w:rPr>
      </w:pPr>
      <w:r>
        <w:rPr>
          <w:rFonts w:ascii="Times New Roman" w:hAnsi="Times New Roman" w:cs="Times New Roman" w:hint="eastAsia"/>
        </w:rPr>
        <w:t>中央銀行の年次報告書は、スロヴェニアの銀行システム全体の損益計算書（</w:t>
      </w:r>
      <w:r w:rsidR="00CC7F9A">
        <w:rPr>
          <w:rFonts w:ascii="Times New Roman" w:hAnsi="Times New Roman" w:cs="Times New Roman" w:hint="eastAsia"/>
        </w:rPr>
        <w:t>表</w:t>
      </w:r>
      <w:r w:rsidR="00CC7F9A">
        <w:rPr>
          <w:rFonts w:ascii="Times New Roman" w:hAnsi="Times New Roman" w:cs="Times New Roman" w:hint="eastAsia"/>
        </w:rPr>
        <w:t>4</w:t>
      </w:r>
      <w:r>
        <w:rPr>
          <w:rFonts w:ascii="Times New Roman" w:hAnsi="Times New Roman" w:cs="Times New Roman" w:hint="eastAsia"/>
        </w:rPr>
        <w:t>）を発表しているが、それに</w:t>
      </w:r>
      <w:r w:rsidRPr="003D2124">
        <w:rPr>
          <w:rFonts w:ascii="Times New Roman" w:hAnsi="Times New Roman" w:cs="Times New Roman"/>
        </w:rPr>
        <w:t>よると、引当金および減損処理は毎年増加し、</w:t>
      </w:r>
      <w:r w:rsidRPr="003D2124">
        <w:rPr>
          <w:rFonts w:ascii="Times New Roman" w:hAnsi="Times New Roman" w:cs="Times New Roman"/>
        </w:rPr>
        <w:t>2010</w:t>
      </w:r>
      <w:r w:rsidRPr="003D2124">
        <w:rPr>
          <w:rFonts w:ascii="Times New Roman" w:hAnsi="Times New Roman" w:cs="Times New Roman"/>
        </w:rPr>
        <w:t>年には税引き前利益は赤字に転じた。以後、</w:t>
      </w:r>
      <w:r w:rsidRPr="003D2124">
        <w:rPr>
          <w:rFonts w:ascii="Times New Roman" w:hAnsi="Times New Roman" w:cs="Times New Roman"/>
        </w:rPr>
        <w:t>3</w:t>
      </w:r>
      <w:r w:rsidRPr="003D2124">
        <w:rPr>
          <w:rFonts w:ascii="Times New Roman" w:hAnsi="Times New Roman" w:cs="Times New Roman"/>
        </w:rPr>
        <w:t>年連続で税引き前の損失を記録した。</w:t>
      </w:r>
      <w:r w:rsidRPr="003D2124">
        <w:rPr>
          <w:rFonts w:ascii="Times New Roman" w:hAnsi="Times New Roman" w:cs="Times New Roman"/>
        </w:rPr>
        <w:t>2012</w:t>
      </w:r>
      <w:r w:rsidRPr="003D2124">
        <w:rPr>
          <w:rFonts w:ascii="Times New Roman" w:hAnsi="Times New Roman" w:cs="Times New Roman"/>
        </w:rPr>
        <w:t>年にはその額は総所得を上回った。</w:t>
      </w:r>
      <w:r>
        <w:rPr>
          <w:rFonts w:ascii="Times New Roman" w:hAnsi="Times New Roman" w:cs="Times New Roman" w:hint="eastAsia"/>
        </w:rPr>
        <w:t>政府が銀行システムの支援に乗り出してからは、銀行の信用問題が政府の債務問題に変わりつつある。</w:t>
      </w:r>
      <w:r>
        <w:rPr>
          <w:rFonts w:ascii="Times New Roman" w:hAnsi="Times New Roman" w:cs="Times New Roman" w:hint="eastAsia"/>
        </w:rPr>
        <w:t>2010</w:t>
      </w:r>
      <w:r>
        <w:rPr>
          <w:rFonts w:ascii="Times New Roman" w:hAnsi="Times New Roman" w:cs="Times New Roman" w:hint="eastAsia"/>
        </w:rPr>
        <w:t>年秋以来、格付け機関はスロヴェニアの格付けをたびたび引き下げた。国際金融市場で非常に高い利回りを約束しないと、国債を引き受けてもらえなくなるし、民間の銀行の借入れに際して高い金利を要求されるようになった。</w:t>
      </w:r>
    </w:p>
    <w:p w:rsidR="009D1D00" w:rsidRPr="003D2124" w:rsidRDefault="009D1D00">
      <w:pPr>
        <w:rPr>
          <w:rFonts w:ascii="Times New Roman" w:hAnsi="Times New Roman" w:cs="Times New Roman"/>
        </w:rPr>
      </w:pPr>
    </w:p>
    <w:p w:rsidR="0098732C" w:rsidRPr="00FC012F" w:rsidRDefault="004E5000">
      <w:pPr>
        <w:rPr>
          <w:rFonts w:ascii="Times New Roman" w:hAnsi="Times New Roman" w:cs="Times New Roman"/>
          <w:b/>
        </w:rPr>
      </w:pPr>
      <w:r w:rsidRPr="00FC012F">
        <w:rPr>
          <w:rFonts w:ascii="Times New Roman" w:hAnsi="Times New Roman" w:cs="Times New Roman"/>
          <w:b/>
        </w:rPr>
        <w:t>国民の負担による銀行システム救出</w:t>
      </w:r>
    </w:p>
    <w:p w:rsidR="00FC7D1B" w:rsidRDefault="00DF7972" w:rsidP="003B2263">
      <w:pPr>
        <w:ind w:firstLineChars="100" w:firstLine="210"/>
        <w:rPr>
          <w:rFonts w:ascii="Times New Roman" w:hAnsi="Times New Roman" w:cs="Times New Roman"/>
        </w:rPr>
      </w:pPr>
      <w:r>
        <w:rPr>
          <w:rFonts w:ascii="Times New Roman" w:hAnsi="Times New Roman" w:cs="Times New Roman" w:hint="eastAsia"/>
        </w:rPr>
        <w:t>2013</w:t>
      </w:r>
      <w:r>
        <w:rPr>
          <w:rFonts w:ascii="Times New Roman" w:hAnsi="Times New Roman" w:cs="Times New Roman" w:hint="eastAsia"/>
        </w:rPr>
        <w:t>年</w:t>
      </w:r>
      <w:r>
        <w:rPr>
          <w:rFonts w:ascii="Times New Roman" w:hAnsi="Times New Roman" w:cs="Times New Roman" w:hint="eastAsia"/>
        </w:rPr>
        <w:t>5</w:t>
      </w:r>
      <w:r>
        <w:rPr>
          <w:rFonts w:ascii="Times New Roman" w:hAnsi="Times New Roman" w:cs="Times New Roman" w:hint="eastAsia"/>
        </w:rPr>
        <w:t>月、政府は</w:t>
      </w:r>
      <w:r>
        <w:rPr>
          <w:rFonts w:ascii="Times New Roman" w:hAnsi="Times New Roman" w:cs="Times New Roman" w:hint="eastAsia"/>
        </w:rPr>
        <w:t>2013-14</w:t>
      </w:r>
      <w:r>
        <w:rPr>
          <w:rFonts w:ascii="Times New Roman" w:hAnsi="Times New Roman" w:cs="Times New Roman" w:hint="eastAsia"/>
        </w:rPr>
        <w:t>年国家改革プログラムを発表した。このプログラムは、</w:t>
      </w:r>
      <w:r>
        <w:rPr>
          <w:rFonts w:ascii="Times New Roman" w:hAnsi="Times New Roman" w:cs="Times New Roman" w:hint="eastAsia"/>
        </w:rPr>
        <w:t>2012</w:t>
      </w:r>
      <w:r>
        <w:rPr>
          <w:rFonts w:ascii="Times New Roman" w:hAnsi="Times New Roman" w:cs="Times New Roman" w:hint="eastAsia"/>
        </w:rPr>
        <w:t>年ヨーロッパ・セメスターの内部でスロヴェニアに対してなされた国特有の勧告の大部分を反映している。</w:t>
      </w:r>
      <w:r w:rsidR="003B2263">
        <w:rPr>
          <w:rFonts w:ascii="Times New Roman" w:hAnsi="Times New Roman" w:cs="Times New Roman" w:hint="eastAsia"/>
        </w:rPr>
        <w:t>この</w:t>
      </w:r>
      <w:r>
        <w:rPr>
          <w:rFonts w:ascii="Times New Roman" w:hAnsi="Times New Roman" w:cs="Times New Roman" w:hint="eastAsia"/>
        </w:rPr>
        <w:t>プログラム</w:t>
      </w:r>
      <w:r w:rsidR="003B2263">
        <w:rPr>
          <w:rFonts w:ascii="Times New Roman" w:hAnsi="Times New Roman" w:cs="Times New Roman" w:hint="eastAsia"/>
        </w:rPr>
        <w:t>は、民営化手続きと並行して、対内</w:t>
      </w:r>
      <w:r w:rsidR="003B2263">
        <w:rPr>
          <w:rFonts w:ascii="Times New Roman" w:hAnsi="Times New Roman" w:cs="Times New Roman" w:hint="eastAsia"/>
        </w:rPr>
        <w:t>FDI</w:t>
      </w:r>
      <w:r w:rsidR="003B2263">
        <w:rPr>
          <w:rFonts w:ascii="Times New Roman" w:hAnsi="Times New Roman" w:cs="Times New Roman" w:hint="eastAsia"/>
        </w:rPr>
        <w:t>の形で新鮮な資本を民間セクターに確保すべきだと強調している。同年</w:t>
      </w:r>
      <w:r w:rsidR="00FC7D1B">
        <w:rPr>
          <w:rFonts w:ascii="Times New Roman" w:hAnsi="Times New Roman" w:cs="Times New Roman" w:hint="eastAsia"/>
        </w:rPr>
        <w:t>6</w:t>
      </w:r>
      <w:r w:rsidR="00FC7D1B">
        <w:rPr>
          <w:rFonts w:ascii="Times New Roman" w:hAnsi="Times New Roman" w:cs="Times New Roman" w:hint="eastAsia"/>
        </w:rPr>
        <w:t>月、議会は、</w:t>
      </w:r>
      <w:r w:rsidR="00FC7D1B">
        <w:rPr>
          <w:rFonts w:ascii="Times New Roman" w:hAnsi="Times New Roman" w:cs="Times New Roman" w:hint="eastAsia"/>
        </w:rPr>
        <w:t>15</w:t>
      </w:r>
      <w:r w:rsidR="00FC7D1B">
        <w:rPr>
          <w:rFonts w:ascii="Times New Roman" w:hAnsi="Times New Roman" w:cs="Times New Roman" w:hint="eastAsia"/>
        </w:rPr>
        <w:t>企業</w:t>
      </w:r>
      <w:r>
        <w:rPr>
          <w:rFonts w:ascii="Times New Roman" w:hAnsi="Times New Roman" w:cs="Times New Roman" w:hint="eastAsia"/>
        </w:rPr>
        <w:t>（航空会社、空港、</w:t>
      </w:r>
      <w:r w:rsidR="006D6AC8">
        <w:rPr>
          <w:rFonts w:ascii="Times New Roman" w:hAnsi="Times New Roman" w:cs="Times New Roman" w:hint="eastAsia"/>
        </w:rPr>
        <w:t>港湾、道路、</w:t>
      </w:r>
      <w:r>
        <w:rPr>
          <w:rFonts w:ascii="Times New Roman" w:hAnsi="Times New Roman" w:cs="Times New Roman" w:hint="eastAsia"/>
        </w:rPr>
        <w:t>電話会社、等）</w:t>
      </w:r>
      <w:r w:rsidR="00FC7D1B">
        <w:rPr>
          <w:rFonts w:ascii="Times New Roman" w:hAnsi="Times New Roman" w:cs="Times New Roman" w:hint="eastAsia"/>
        </w:rPr>
        <w:t>において</w:t>
      </w:r>
      <w:r>
        <w:rPr>
          <w:rFonts w:ascii="Times New Roman" w:hAnsi="Times New Roman" w:cs="Times New Roman" w:hint="eastAsia"/>
        </w:rPr>
        <w:t>政府が保有する株式を売却するという政府の計画を承認した。</w:t>
      </w:r>
    </w:p>
    <w:p w:rsidR="0098732C" w:rsidRDefault="00DF7972" w:rsidP="00DF7972">
      <w:pPr>
        <w:ind w:firstLineChars="100" w:firstLine="210"/>
        <w:rPr>
          <w:rFonts w:ascii="Times New Roman" w:hAnsi="Times New Roman" w:cs="Times New Roman"/>
        </w:rPr>
      </w:pPr>
      <w:r w:rsidRPr="003D2124">
        <w:rPr>
          <w:rFonts w:ascii="Times New Roman" w:hAnsi="Times New Roman" w:cs="Times New Roman"/>
        </w:rPr>
        <w:lastRenderedPageBreak/>
        <w:t>2012</w:t>
      </w:r>
      <w:r w:rsidRPr="003D2124">
        <w:rPr>
          <w:rFonts w:ascii="Times New Roman" w:hAnsi="Times New Roman" w:cs="Times New Roman"/>
        </w:rPr>
        <w:t>年</w:t>
      </w:r>
      <w:r w:rsidRPr="003D2124">
        <w:rPr>
          <w:rFonts w:ascii="Times New Roman" w:hAnsi="Times New Roman" w:cs="Times New Roman"/>
        </w:rPr>
        <w:t>10</w:t>
      </w:r>
      <w:r w:rsidRPr="003D2124">
        <w:rPr>
          <w:rFonts w:ascii="Times New Roman" w:hAnsi="Times New Roman" w:cs="Times New Roman"/>
        </w:rPr>
        <w:t>月、バッド・バンク（銀行資産管理会社</w:t>
      </w:r>
      <w:r w:rsidRPr="003D2124">
        <w:rPr>
          <w:rFonts w:ascii="Times New Roman" w:hAnsi="Times New Roman" w:cs="Times New Roman"/>
        </w:rPr>
        <w:t>BAMC</w:t>
      </w:r>
      <w:r w:rsidRPr="003D2124">
        <w:rPr>
          <w:rFonts w:ascii="Times New Roman" w:hAnsi="Times New Roman" w:cs="Times New Roman"/>
        </w:rPr>
        <w:t>）を創設する金融安定法</w:t>
      </w:r>
      <w:r w:rsidR="003B2263">
        <w:rPr>
          <w:rFonts w:ascii="Times New Roman" w:hAnsi="Times New Roman" w:cs="Times New Roman" w:hint="eastAsia"/>
        </w:rPr>
        <w:t>が制定され</w:t>
      </w:r>
      <w:r w:rsidRPr="003D2124">
        <w:rPr>
          <w:rFonts w:ascii="Times New Roman" w:hAnsi="Times New Roman" w:cs="Times New Roman"/>
        </w:rPr>
        <w:t>た。</w:t>
      </w:r>
      <w:r w:rsidRPr="003D2124">
        <w:rPr>
          <w:rFonts w:ascii="Times New Roman" w:hAnsi="Times New Roman" w:cs="Times New Roman"/>
        </w:rPr>
        <w:t>BAMC</w:t>
      </w:r>
      <w:r w:rsidRPr="003D2124">
        <w:rPr>
          <w:rFonts w:ascii="Times New Roman" w:hAnsi="Times New Roman" w:cs="Times New Roman"/>
        </w:rPr>
        <w:t>は、最高監査機関と議会の監視に従う。最高</w:t>
      </w:r>
      <w:r w:rsidRPr="003D2124">
        <w:rPr>
          <w:rFonts w:ascii="Times New Roman" w:hAnsi="Times New Roman" w:cs="Times New Roman"/>
        </w:rPr>
        <w:t>40</w:t>
      </w:r>
      <w:r w:rsidRPr="003D2124">
        <w:rPr>
          <w:rFonts w:ascii="Times New Roman" w:hAnsi="Times New Roman" w:cs="Times New Roman"/>
        </w:rPr>
        <w:t>兆ユーロ（</w:t>
      </w:r>
      <w:r w:rsidRPr="003D2124">
        <w:rPr>
          <w:rFonts w:ascii="Times New Roman" w:hAnsi="Times New Roman" w:cs="Times New Roman"/>
        </w:rPr>
        <w:t>GDP</w:t>
      </w:r>
      <w:r w:rsidRPr="003D2124">
        <w:rPr>
          <w:rFonts w:ascii="Times New Roman" w:hAnsi="Times New Roman" w:cs="Times New Roman"/>
        </w:rPr>
        <w:t>の約</w:t>
      </w:r>
      <w:r w:rsidRPr="003D2124">
        <w:rPr>
          <w:rFonts w:ascii="Times New Roman" w:hAnsi="Times New Roman" w:cs="Times New Roman"/>
        </w:rPr>
        <w:t>11%</w:t>
      </w:r>
      <w:r w:rsidRPr="003D2124">
        <w:rPr>
          <w:rFonts w:ascii="Times New Roman" w:hAnsi="Times New Roman" w:cs="Times New Roman"/>
        </w:rPr>
        <w:t>）の政府保証債を発行することができる。</w:t>
      </w:r>
      <w:r w:rsidR="008E2B95" w:rsidRPr="003D2124">
        <w:rPr>
          <w:rFonts w:ascii="Times New Roman" w:hAnsi="Times New Roman" w:cs="Times New Roman"/>
        </w:rPr>
        <w:t>BAMC</w:t>
      </w:r>
      <w:r w:rsidR="008E2B95" w:rsidRPr="003D2124">
        <w:rPr>
          <w:rFonts w:ascii="Times New Roman" w:hAnsi="Times New Roman" w:cs="Times New Roman"/>
        </w:rPr>
        <w:t>は、毀損した資産を銀行から買い取るが、それの速やかに解決するための手段と権限をもつことになる。</w:t>
      </w:r>
      <w:r w:rsidR="008E2B95" w:rsidRPr="003D2124">
        <w:rPr>
          <w:rFonts w:ascii="Times New Roman" w:hAnsi="Times New Roman" w:cs="Times New Roman"/>
        </w:rPr>
        <w:t>BAMC</w:t>
      </w:r>
      <w:r w:rsidR="008E2B95" w:rsidRPr="003D2124">
        <w:rPr>
          <w:rFonts w:ascii="Times New Roman" w:hAnsi="Times New Roman" w:cs="Times New Roman"/>
        </w:rPr>
        <w:t>が関与する破産手続きは</w:t>
      </w:r>
      <w:r w:rsidR="008E2B95" w:rsidRPr="003D2124">
        <w:rPr>
          <w:rFonts w:ascii="Times New Roman" w:hAnsi="Times New Roman" w:cs="Times New Roman"/>
        </w:rPr>
        <w:t>6</w:t>
      </w:r>
      <w:r w:rsidR="008E2B95" w:rsidRPr="003D2124">
        <w:rPr>
          <w:rFonts w:ascii="Times New Roman" w:hAnsi="Times New Roman" w:cs="Times New Roman"/>
        </w:rPr>
        <w:t>カ月以内に完了することになる。</w:t>
      </w:r>
      <w:r w:rsidR="0098732C" w:rsidRPr="003D2124">
        <w:rPr>
          <w:rFonts w:ascii="Times New Roman" w:hAnsi="Times New Roman" w:cs="Times New Roman"/>
        </w:rPr>
        <w:t>銀行のストレス・テストの結果が</w:t>
      </w:r>
      <w:r w:rsidR="0098732C" w:rsidRPr="003D2124">
        <w:rPr>
          <w:rFonts w:ascii="Times New Roman" w:hAnsi="Times New Roman" w:cs="Times New Roman"/>
        </w:rPr>
        <w:t>2013</w:t>
      </w:r>
      <w:r w:rsidR="0098732C" w:rsidRPr="003D2124">
        <w:rPr>
          <w:rFonts w:ascii="Times New Roman" w:hAnsi="Times New Roman" w:cs="Times New Roman"/>
        </w:rPr>
        <w:t>年</w:t>
      </w:r>
      <w:r w:rsidR="0098732C" w:rsidRPr="003D2124">
        <w:rPr>
          <w:rFonts w:ascii="Times New Roman" w:hAnsi="Times New Roman" w:cs="Times New Roman"/>
        </w:rPr>
        <w:t>12</w:t>
      </w:r>
      <w:r w:rsidR="0098732C" w:rsidRPr="003D2124">
        <w:rPr>
          <w:rFonts w:ascii="Times New Roman" w:hAnsi="Times New Roman" w:cs="Times New Roman"/>
        </w:rPr>
        <w:t>月</w:t>
      </w:r>
      <w:r w:rsidR="0098732C" w:rsidRPr="003D2124">
        <w:rPr>
          <w:rFonts w:ascii="Times New Roman" w:hAnsi="Times New Roman" w:cs="Times New Roman"/>
        </w:rPr>
        <w:t>12</w:t>
      </w:r>
      <w:r w:rsidR="0098732C" w:rsidRPr="003D2124">
        <w:rPr>
          <w:rFonts w:ascii="Times New Roman" w:hAnsi="Times New Roman" w:cs="Times New Roman"/>
        </w:rPr>
        <w:t>日に発表：</w:t>
      </w:r>
      <w:r w:rsidR="0098732C" w:rsidRPr="003D2124">
        <w:rPr>
          <w:rFonts w:ascii="Times New Roman" w:hAnsi="Times New Roman" w:cs="Times New Roman"/>
        </w:rPr>
        <w:t>3</w:t>
      </w:r>
      <w:r w:rsidR="0098732C" w:rsidRPr="003D2124">
        <w:rPr>
          <w:rFonts w:ascii="Times New Roman" w:hAnsi="Times New Roman" w:cs="Times New Roman"/>
        </w:rPr>
        <w:t>大銀行の資本を増強するために</w:t>
      </w:r>
      <w:r w:rsidR="0098732C" w:rsidRPr="003D2124">
        <w:rPr>
          <w:rFonts w:ascii="Times New Roman" w:hAnsi="Times New Roman" w:cs="Times New Roman"/>
        </w:rPr>
        <w:t>30</w:t>
      </w:r>
      <w:r w:rsidR="0098732C" w:rsidRPr="003D2124">
        <w:rPr>
          <w:rFonts w:ascii="Times New Roman" w:hAnsi="Times New Roman" w:cs="Times New Roman"/>
        </w:rPr>
        <w:t>億</w:t>
      </w:r>
      <w:r w:rsidR="0098732C" w:rsidRPr="003D2124">
        <w:rPr>
          <w:rFonts w:ascii="Times New Roman" w:hAnsi="Times New Roman" w:cs="Times New Roman"/>
        </w:rPr>
        <w:t>1200</w:t>
      </w:r>
      <w:r w:rsidR="0098732C" w:rsidRPr="003D2124">
        <w:rPr>
          <w:rFonts w:ascii="Times New Roman" w:hAnsi="Times New Roman" w:cs="Times New Roman"/>
        </w:rPr>
        <w:t>万ユーロ（</w:t>
      </w:r>
      <w:r w:rsidR="0098732C" w:rsidRPr="003D2124">
        <w:rPr>
          <w:rFonts w:ascii="Times New Roman" w:hAnsi="Times New Roman" w:cs="Times New Roman"/>
        </w:rPr>
        <w:t>GDP</w:t>
      </w:r>
      <w:r w:rsidR="0098732C" w:rsidRPr="003D2124">
        <w:rPr>
          <w:rFonts w:ascii="Times New Roman" w:hAnsi="Times New Roman" w:cs="Times New Roman"/>
        </w:rPr>
        <w:t>の</w:t>
      </w:r>
      <w:r w:rsidR="0098732C" w:rsidRPr="003D2124">
        <w:rPr>
          <w:rFonts w:ascii="Times New Roman" w:hAnsi="Times New Roman" w:cs="Times New Roman"/>
        </w:rPr>
        <w:t>8.6</w:t>
      </w:r>
      <w:r w:rsidR="0098732C" w:rsidRPr="003D2124">
        <w:rPr>
          <w:rFonts w:ascii="Times New Roman" w:hAnsi="Times New Roman" w:cs="Times New Roman"/>
        </w:rPr>
        <w:t>％）が必要。同年</w:t>
      </w:r>
      <w:r w:rsidR="0098732C" w:rsidRPr="003D2124">
        <w:rPr>
          <w:rFonts w:ascii="Times New Roman" w:hAnsi="Times New Roman" w:cs="Times New Roman"/>
        </w:rPr>
        <w:t>12</w:t>
      </w:r>
      <w:r w:rsidR="0098732C" w:rsidRPr="003D2124">
        <w:rPr>
          <w:rFonts w:ascii="Times New Roman" w:hAnsi="Times New Roman" w:cs="Times New Roman"/>
        </w:rPr>
        <w:t>月</w:t>
      </w:r>
      <w:r w:rsidR="0098732C" w:rsidRPr="003D2124">
        <w:rPr>
          <w:rFonts w:ascii="Times New Roman" w:hAnsi="Times New Roman" w:cs="Times New Roman"/>
        </w:rPr>
        <w:t>18</w:t>
      </w:r>
      <w:r w:rsidR="0098732C" w:rsidRPr="003D2124">
        <w:rPr>
          <w:rFonts w:ascii="Times New Roman" w:hAnsi="Times New Roman" w:cs="Times New Roman"/>
        </w:rPr>
        <w:t>日に欧州委員会の承認を得て、</w:t>
      </w:r>
      <w:r w:rsidR="0098732C" w:rsidRPr="003D2124">
        <w:rPr>
          <w:rFonts w:ascii="Times New Roman" w:hAnsi="Times New Roman" w:cs="Times New Roman"/>
        </w:rPr>
        <w:t>3</w:t>
      </w:r>
      <w:r w:rsidR="0098732C" w:rsidRPr="003D2124">
        <w:rPr>
          <w:rFonts w:ascii="Times New Roman" w:hAnsi="Times New Roman" w:cs="Times New Roman"/>
        </w:rPr>
        <w:t>行の不良債権の</w:t>
      </w:r>
      <w:r w:rsidR="0098732C" w:rsidRPr="003D2124">
        <w:rPr>
          <w:rFonts w:ascii="Times New Roman" w:hAnsi="Times New Roman" w:cs="Times New Roman"/>
        </w:rPr>
        <w:t>BAMC</w:t>
      </w:r>
      <w:r w:rsidR="0098732C" w:rsidRPr="003D2124">
        <w:rPr>
          <w:rFonts w:ascii="Times New Roman" w:hAnsi="Times New Roman" w:cs="Times New Roman"/>
        </w:rPr>
        <w:t>への移管およびスロヴェニア政府による資本注入が実施された</w:t>
      </w:r>
      <w:r w:rsidR="004E5000" w:rsidRPr="003D2124">
        <w:rPr>
          <w:rFonts w:ascii="Times New Roman" w:hAnsi="Times New Roman" w:cs="Times New Roman"/>
        </w:rPr>
        <w:t>（</w:t>
      </w:r>
      <w:r w:rsidR="009D1D00">
        <w:rPr>
          <w:rFonts w:ascii="Times New Roman" w:hAnsi="Times New Roman" w:cs="Times New Roman" w:hint="eastAsia"/>
        </w:rPr>
        <w:t>その結果、</w:t>
      </w:r>
      <w:r w:rsidR="0098732C" w:rsidRPr="003D2124">
        <w:rPr>
          <w:rFonts w:ascii="Times New Roman" w:hAnsi="Times New Roman" w:cs="Times New Roman"/>
        </w:rPr>
        <w:t>2013</w:t>
      </w:r>
      <w:r w:rsidR="0098732C" w:rsidRPr="003D2124">
        <w:rPr>
          <w:rFonts w:ascii="Times New Roman" w:hAnsi="Times New Roman" w:cs="Times New Roman"/>
        </w:rPr>
        <w:t>年度の財政赤字は</w:t>
      </w:r>
      <w:r w:rsidR="0098732C" w:rsidRPr="003D2124">
        <w:rPr>
          <w:rFonts w:ascii="Times New Roman" w:hAnsi="Times New Roman" w:cs="Times New Roman"/>
        </w:rPr>
        <w:t>GDP</w:t>
      </w:r>
      <w:r w:rsidR="0098732C" w:rsidRPr="003D2124">
        <w:rPr>
          <w:rFonts w:ascii="Times New Roman" w:hAnsi="Times New Roman" w:cs="Times New Roman"/>
        </w:rPr>
        <w:t>の</w:t>
      </w:r>
      <w:r w:rsidR="0098732C" w:rsidRPr="003D2124">
        <w:rPr>
          <w:rFonts w:ascii="Times New Roman" w:hAnsi="Times New Roman" w:cs="Times New Roman"/>
        </w:rPr>
        <w:t>14.7</w:t>
      </w:r>
      <w:r w:rsidR="0098732C" w:rsidRPr="003D2124">
        <w:rPr>
          <w:rFonts w:ascii="Times New Roman" w:hAnsi="Times New Roman" w:cs="Times New Roman"/>
        </w:rPr>
        <w:t>％</w:t>
      </w:r>
      <w:r w:rsidR="009D1D00">
        <w:rPr>
          <w:rFonts w:ascii="Times New Roman" w:hAnsi="Times New Roman" w:cs="Times New Roman" w:hint="eastAsia"/>
        </w:rPr>
        <w:t>に達した</w:t>
      </w:r>
      <w:r w:rsidR="004E5000" w:rsidRPr="003D2124">
        <w:rPr>
          <w:rFonts w:ascii="Times New Roman" w:hAnsi="Times New Roman" w:cs="Times New Roman"/>
        </w:rPr>
        <w:t>）</w:t>
      </w:r>
      <w:r w:rsidR="0098732C" w:rsidRPr="003D2124">
        <w:rPr>
          <w:rFonts w:ascii="Times New Roman" w:hAnsi="Times New Roman" w:cs="Times New Roman"/>
        </w:rPr>
        <w:t>。</w:t>
      </w:r>
      <w:r w:rsidR="004E5000" w:rsidRPr="003D2124">
        <w:rPr>
          <w:rFonts w:ascii="Times New Roman" w:hAnsi="Times New Roman" w:cs="Times New Roman"/>
        </w:rPr>
        <w:t>ひとまずトロイカの支援を受けることなく、自力解決の道を歩む。</w:t>
      </w:r>
    </w:p>
    <w:p w:rsidR="00565831" w:rsidRPr="003D2124" w:rsidRDefault="00565831" w:rsidP="00DF7972">
      <w:pPr>
        <w:ind w:firstLineChars="100" w:firstLine="210"/>
        <w:rPr>
          <w:rFonts w:ascii="Times New Roman" w:hAnsi="Times New Roman" w:cs="Times New Roman"/>
        </w:rPr>
      </w:pPr>
      <w:r>
        <w:rPr>
          <w:rFonts w:ascii="Times New Roman" w:hAnsi="Times New Roman" w:cs="Times New Roman" w:hint="eastAsia"/>
        </w:rPr>
        <w:t>2008</w:t>
      </w:r>
      <w:r>
        <w:rPr>
          <w:rFonts w:ascii="Times New Roman" w:hAnsi="Times New Roman" w:cs="Times New Roman" w:hint="eastAsia"/>
        </w:rPr>
        <w:t>年には</w:t>
      </w:r>
      <w:r>
        <w:rPr>
          <w:rFonts w:ascii="Times New Roman" w:hAnsi="Times New Roman" w:cs="Times New Roman" w:hint="eastAsia"/>
        </w:rPr>
        <w:t>4.4</w:t>
      </w:r>
      <w:r>
        <w:rPr>
          <w:rFonts w:ascii="Times New Roman" w:hAnsi="Times New Roman" w:cs="Times New Roman" w:hint="eastAsia"/>
        </w:rPr>
        <w:t>％であった失業率は</w:t>
      </w:r>
      <w:r>
        <w:rPr>
          <w:rFonts w:ascii="Times New Roman" w:hAnsi="Times New Roman" w:cs="Times New Roman" w:hint="eastAsia"/>
        </w:rPr>
        <w:t>2014</w:t>
      </w:r>
      <w:r>
        <w:rPr>
          <w:rFonts w:ascii="Times New Roman" w:hAnsi="Times New Roman" w:cs="Times New Roman" w:hint="eastAsia"/>
        </w:rPr>
        <w:t>年には</w:t>
      </w:r>
      <w:r>
        <w:rPr>
          <w:rFonts w:ascii="Times New Roman" w:hAnsi="Times New Roman" w:cs="Times New Roman" w:hint="eastAsia"/>
        </w:rPr>
        <w:t>11.0</w:t>
      </w:r>
      <w:r>
        <w:rPr>
          <w:rFonts w:ascii="Times New Roman" w:hAnsi="Times New Roman" w:cs="Times New Roman" w:hint="eastAsia"/>
        </w:rPr>
        <w:t>％にまで高まった。長引く深刻な経済危機は政治危機を招いている</w:t>
      </w:r>
      <w:r w:rsidR="006D6AC8">
        <w:rPr>
          <w:rStyle w:val="ae"/>
          <w:rFonts w:ascii="Times New Roman" w:hAnsi="Times New Roman" w:cs="Times New Roman"/>
        </w:rPr>
        <w:footnoteReference w:id="17"/>
      </w:r>
      <w:r w:rsidR="007D03F6">
        <w:rPr>
          <w:rFonts w:ascii="Times New Roman" w:hAnsi="Times New Roman" w:cs="Times New Roman" w:hint="eastAsia"/>
        </w:rPr>
        <w:t>。政府が推進しようとしていたインフラ関連企業の民営化に対して、</w:t>
      </w:r>
      <w:r>
        <w:rPr>
          <w:rFonts w:ascii="Times New Roman" w:hAnsi="Times New Roman" w:cs="Times New Roman" w:hint="eastAsia"/>
        </w:rPr>
        <w:t>連立政権の最大与党「積極的なスロヴェニア」</w:t>
      </w:r>
      <w:r w:rsidR="007D03F6">
        <w:rPr>
          <w:rFonts w:ascii="Times New Roman" w:hAnsi="Times New Roman" w:cs="Times New Roman" w:hint="eastAsia"/>
        </w:rPr>
        <w:t>の内部で不満が高まり、</w:t>
      </w:r>
      <w:r w:rsidR="007D03F6">
        <w:rPr>
          <w:rFonts w:ascii="Times New Roman" w:hAnsi="Times New Roman" w:cs="Times New Roman" w:hint="eastAsia"/>
        </w:rPr>
        <w:t>2014</w:t>
      </w:r>
      <w:r w:rsidR="007D03F6">
        <w:rPr>
          <w:rFonts w:ascii="Times New Roman" w:hAnsi="Times New Roman" w:cs="Times New Roman" w:hint="eastAsia"/>
        </w:rPr>
        <w:t>年</w:t>
      </w:r>
      <w:r w:rsidR="007D03F6">
        <w:rPr>
          <w:rFonts w:ascii="Times New Roman" w:hAnsi="Times New Roman" w:cs="Times New Roman" w:hint="eastAsia"/>
        </w:rPr>
        <w:t>5</w:t>
      </w:r>
      <w:r w:rsidR="007D03F6">
        <w:rPr>
          <w:rFonts w:ascii="Times New Roman" w:hAnsi="Times New Roman" w:cs="Times New Roman" w:hint="eastAsia"/>
        </w:rPr>
        <w:t>月に党</w:t>
      </w:r>
      <w:r>
        <w:rPr>
          <w:rFonts w:ascii="Times New Roman" w:hAnsi="Times New Roman" w:cs="Times New Roman" w:hint="eastAsia"/>
        </w:rPr>
        <w:t>が分裂し、首相は辞任した。前倒しの総選挙が</w:t>
      </w:r>
      <w:r w:rsidR="00A722C2">
        <w:rPr>
          <w:rFonts w:ascii="Times New Roman" w:hAnsi="Times New Roman" w:cs="Times New Roman" w:hint="eastAsia"/>
        </w:rPr>
        <w:t>同年</w:t>
      </w:r>
      <w:r>
        <w:rPr>
          <w:rFonts w:ascii="Times New Roman" w:hAnsi="Times New Roman" w:cs="Times New Roman" w:hint="eastAsia"/>
        </w:rPr>
        <w:t>7</w:t>
      </w:r>
      <w:r>
        <w:rPr>
          <w:rFonts w:ascii="Times New Roman" w:hAnsi="Times New Roman" w:cs="Times New Roman" w:hint="eastAsia"/>
        </w:rPr>
        <w:t>月</w:t>
      </w:r>
      <w:r>
        <w:rPr>
          <w:rFonts w:ascii="Times New Roman" w:hAnsi="Times New Roman" w:cs="Times New Roman" w:hint="eastAsia"/>
        </w:rPr>
        <w:t>13</w:t>
      </w:r>
      <w:r>
        <w:rPr>
          <w:rFonts w:ascii="Times New Roman" w:hAnsi="Times New Roman" w:cs="Times New Roman" w:hint="eastAsia"/>
        </w:rPr>
        <w:t>日に実施され</w:t>
      </w:r>
      <w:r w:rsidR="00A722C2">
        <w:rPr>
          <w:rFonts w:ascii="Times New Roman" w:hAnsi="Times New Roman" w:cs="Times New Roman" w:hint="eastAsia"/>
        </w:rPr>
        <w:t>た。国民の間での既成政党への批判は強く、</w:t>
      </w:r>
      <w:r w:rsidR="006D6AC8">
        <w:rPr>
          <w:rFonts w:ascii="Times New Roman" w:hAnsi="Times New Roman" w:cs="Times New Roman" w:hint="eastAsia"/>
        </w:rPr>
        <w:t>新たに結成された政党が勝利したが、その前途は容易ではない。</w:t>
      </w:r>
    </w:p>
    <w:p w:rsidR="00EC0651" w:rsidRPr="003D2124" w:rsidRDefault="00EC0651">
      <w:pPr>
        <w:rPr>
          <w:rFonts w:ascii="Times New Roman" w:hAnsi="Times New Roman" w:cs="Times New Roman"/>
        </w:rPr>
      </w:pPr>
    </w:p>
    <w:p w:rsidR="00EC0651" w:rsidRPr="00FC012F" w:rsidRDefault="00A120CD">
      <w:pPr>
        <w:rPr>
          <w:rFonts w:ascii="Times New Roman" w:hAnsi="Times New Roman" w:cs="Times New Roman"/>
          <w:b/>
        </w:rPr>
      </w:pPr>
      <w:r>
        <w:rPr>
          <w:rFonts w:ascii="Times New Roman" w:hAnsi="Times New Roman" w:cs="Times New Roman" w:hint="eastAsia"/>
          <w:b/>
        </w:rPr>
        <w:t>Ⅳ</w:t>
      </w:r>
      <w:r>
        <w:rPr>
          <w:rFonts w:ascii="Times New Roman" w:hAnsi="Times New Roman" w:cs="Times New Roman" w:hint="eastAsia"/>
          <w:b/>
        </w:rPr>
        <w:t>.</w:t>
      </w:r>
      <w:r>
        <w:rPr>
          <w:rFonts w:ascii="Times New Roman" w:hAnsi="Times New Roman" w:cs="Times New Roman" w:hint="eastAsia"/>
          <w:b/>
        </w:rPr>
        <w:t xml:space="preserve">　</w:t>
      </w:r>
      <w:r w:rsidR="00FC012F" w:rsidRPr="00FC012F">
        <w:rPr>
          <w:rFonts w:ascii="Times New Roman" w:hAnsi="Times New Roman" w:cs="Times New Roman" w:hint="eastAsia"/>
          <w:b/>
        </w:rPr>
        <w:t>結論</w:t>
      </w:r>
    </w:p>
    <w:p w:rsidR="0086325D" w:rsidRPr="003D2124" w:rsidRDefault="00E1323D" w:rsidP="00BA5DAD">
      <w:pPr>
        <w:ind w:firstLineChars="100" w:firstLine="210"/>
        <w:rPr>
          <w:rFonts w:ascii="Times New Roman" w:hAnsi="Times New Roman" w:cs="Times New Roman"/>
        </w:rPr>
      </w:pPr>
      <w:r>
        <w:rPr>
          <w:rFonts w:ascii="Times New Roman" w:hAnsi="Times New Roman" w:cs="Times New Roman" w:hint="eastAsia"/>
        </w:rPr>
        <w:t>1999</w:t>
      </w:r>
      <w:r>
        <w:rPr>
          <w:rFonts w:ascii="Times New Roman" w:hAnsi="Times New Roman" w:cs="Times New Roman" w:hint="eastAsia"/>
        </w:rPr>
        <w:t>年の単一通貨の誕生と</w:t>
      </w:r>
      <w:r>
        <w:rPr>
          <w:rFonts w:ascii="Times New Roman" w:hAnsi="Times New Roman" w:cs="Times New Roman" w:hint="eastAsia"/>
        </w:rPr>
        <w:t>2002</w:t>
      </w:r>
      <w:r>
        <w:rPr>
          <w:rFonts w:ascii="Times New Roman" w:hAnsi="Times New Roman" w:cs="Times New Roman" w:hint="eastAsia"/>
        </w:rPr>
        <w:t>年の現金のユーロの流通はヨーロッパの銀行業界を一変させ、西欧の銀行は旧東欧を含めてヨーロッパ全域で国境を越えてビジネスを展開するようになった。中東欧の</w:t>
      </w:r>
      <w:r>
        <w:rPr>
          <w:rFonts w:ascii="Times New Roman" w:hAnsi="Times New Roman" w:cs="Times New Roman" w:hint="eastAsia"/>
        </w:rPr>
        <w:t>8</w:t>
      </w:r>
      <w:r>
        <w:rPr>
          <w:rFonts w:ascii="Times New Roman" w:hAnsi="Times New Roman" w:cs="Times New Roman" w:hint="eastAsia"/>
        </w:rPr>
        <w:t>ヵ国は</w:t>
      </w:r>
      <w:r>
        <w:rPr>
          <w:rFonts w:ascii="Times New Roman" w:hAnsi="Times New Roman" w:cs="Times New Roman" w:hint="eastAsia"/>
        </w:rPr>
        <w:t>2004</w:t>
      </w:r>
      <w:r>
        <w:rPr>
          <w:rFonts w:ascii="Times New Roman" w:hAnsi="Times New Roman" w:cs="Times New Roman" w:hint="eastAsia"/>
        </w:rPr>
        <w:t>年に</w:t>
      </w:r>
      <w:r>
        <w:rPr>
          <w:rFonts w:ascii="Times New Roman" w:hAnsi="Times New Roman" w:cs="Times New Roman" w:hint="eastAsia"/>
        </w:rPr>
        <w:t>EU</w:t>
      </w:r>
      <w:r>
        <w:rPr>
          <w:rFonts w:ascii="Times New Roman" w:hAnsi="Times New Roman" w:cs="Times New Roman" w:hint="eastAsia"/>
        </w:rPr>
        <w:t>に加盟した。これらの国々の次の課題は、</w:t>
      </w:r>
      <w:r>
        <w:rPr>
          <w:rFonts w:ascii="Times New Roman" w:hAnsi="Times New Roman" w:cs="Times New Roman" w:hint="eastAsia"/>
        </w:rPr>
        <w:t>EMU</w:t>
      </w:r>
      <w:r>
        <w:rPr>
          <w:rFonts w:ascii="Times New Roman" w:hAnsi="Times New Roman" w:cs="Times New Roman" w:hint="eastAsia"/>
        </w:rPr>
        <w:t>に加盟し、ユーロを導入することであ</w:t>
      </w:r>
      <w:r w:rsidR="00D20793">
        <w:rPr>
          <w:rFonts w:ascii="Times New Roman" w:hAnsi="Times New Roman" w:cs="Times New Roman" w:hint="eastAsia"/>
        </w:rPr>
        <w:t>った</w:t>
      </w:r>
      <w:r>
        <w:rPr>
          <w:rFonts w:ascii="Times New Roman" w:hAnsi="Times New Roman" w:cs="Times New Roman" w:hint="eastAsia"/>
        </w:rPr>
        <w:t>。ユーロを最初に</w:t>
      </w:r>
      <w:r w:rsidR="000E7A35">
        <w:rPr>
          <w:rFonts w:ascii="Times New Roman" w:hAnsi="Times New Roman" w:cs="Times New Roman" w:hint="eastAsia"/>
        </w:rPr>
        <w:t>（</w:t>
      </w:r>
      <w:r w:rsidR="000E7A35">
        <w:rPr>
          <w:rFonts w:ascii="Times New Roman" w:hAnsi="Times New Roman" w:cs="Times New Roman" w:hint="eastAsia"/>
        </w:rPr>
        <w:t>2007</w:t>
      </w:r>
      <w:r w:rsidR="000E7A35">
        <w:rPr>
          <w:rFonts w:ascii="Times New Roman" w:hAnsi="Times New Roman" w:cs="Times New Roman" w:hint="eastAsia"/>
        </w:rPr>
        <w:t>年）</w:t>
      </w:r>
      <w:r>
        <w:rPr>
          <w:rFonts w:ascii="Times New Roman" w:hAnsi="Times New Roman" w:cs="Times New Roman" w:hint="eastAsia"/>
        </w:rPr>
        <w:t>導入したの</w:t>
      </w:r>
      <w:r w:rsidR="00BA5DAD">
        <w:rPr>
          <w:rFonts w:ascii="Times New Roman" w:hAnsi="Times New Roman" w:cs="Times New Roman" w:hint="eastAsia"/>
        </w:rPr>
        <w:t>は</w:t>
      </w:r>
      <w:r>
        <w:rPr>
          <w:rFonts w:ascii="Times New Roman" w:hAnsi="Times New Roman" w:cs="Times New Roman" w:hint="eastAsia"/>
        </w:rPr>
        <w:t>スロヴェニアであった。</w:t>
      </w:r>
      <w:r w:rsidR="00BA5DAD">
        <w:rPr>
          <w:rFonts w:ascii="Times New Roman" w:hAnsi="Times New Roman" w:cs="Times New Roman" w:hint="eastAsia"/>
        </w:rPr>
        <w:t>ところが、</w:t>
      </w:r>
      <w:r w:rsidR="00ED2337" w:rsidRPr="003D2124">
        <w:rPr>
          <w:rFonts w:ascii="Times New Roman" w:hAnsi="Times New Roman" w:cs="Times New Roman"/>
        </w:rPr>
        <w:t>すでに</w:t>
      </w:r>
      <w:r w:rsidR="005D01DF" w:rsidRPr="003D2124">
        <w:rPr>
          <w:rFonts w:ascii="Times New Roman" w:hAnsi="Times New Roman" w:cs="Times New Roman"/>
        </w:rPr>
        <w:t>ユーロ圏への正式加盟以前に国内の金利は下が</w:t>
      </w:r>
      <w:r w:rsidR="00BA5DAD">
        <w:rPr>
          <w:rFonts w:ascii="Times New Roman" w:hAnsi="Times New Roman" w:cs="Times New Roman" w:hint="eastAsia"/>
        </w:rPr>
        <w:t>りだした</w:t>
      </w:r>
      <w:r w:rsidR="005D01DF" w:rsidRPr="003D2124">
        <w:rPr>
          <w:rFonts w:ascii="Times New Roman" w:hAnsi="Times New Roman" w:cs="Times New Roman"/>
        </w:rPr>
        <w:t>。</w:t>
      </w:r>
      <w:r w:rsidR="005D01DF" w:rsidRPr="003D2124">
        <w:rPr>
          <w:rFonts w:ascii="Times New Roman" w:hAnsi="Times New Roman" w:cs="Times New Roman"/>
        </w:rPr>
        <w:t>EU</w:t>
      </w:r>
      <w:r w:rsidR="00BA5DAD">
        <w:rPr>
          <w:rFonts w:ascii="Times New Roman" w:hAnsi="Times New Roman" w:cs="Times New Roman" w:hint="eastAsia"/>
        </w:rPr>
        <w:t>に</w:t>
      </w:r>
      <w:r w:rsidR="005D01DF" w:rsidRPr="003D2124">
        <w:rPr>
          <w:rFonts w:ascii="Times New Roman" w:hAnsi="Times New Roman" w:cs="Times New Roman"/>
        </w:rPr>
        <w:t>加盟</w:t>
      </w:r>
      <w:r w:rsidR="00BA5DAD">
        <w:rPr>
          <w:rFonts w:ascii="Times New Roman" w:hAnsi="Times New Roman" w:cs="Times New Roman" w:hint="eastAsia"/>
        </w:rPr>
        <w:t>したこと</w:t>
      </w:r>
      <w:r w:rsidR="005D01DF" w:rsidRPr="003D2124">
        <w:rPr>
          <w:rFonts w:ascii="Times New Roman" w:hAnsi="Times New Roman" w:cs="Times New Roman"/>
        </w:rPr>
        <w:t>でリスク・プレミアムが低下</w:t>
      </w:r>
      <w:r w:rsidR="00BA5DAD">
        <w:rPr>
          <w:rFonts w:ascii="Times New Roman" w:hAnsi="Times New Roman" w:cs="Times New Roman" w:hint="eastAsia"/>
        </w:rPr>
        <w:t>した</w:t>
      </w:r>
      <w:r w:rsidR="005D01DF" w:rsidRPr="003D2124">
        <w:rPr>
          <w:rFonts w:ascii="Times New Roman" w:hAnsi="Times New Roman" w:cs="Times New Roman"/>
        </w:rPr>
        <w:t>。</w:t>
      </w:r>
      <w:r w:rsidR="00ED2337" w:rsidRPr="003D2124">
        <w:rPr>
          <w:rFonts w:ascii="Times New Roman" w:hAnsi="Times New Roman" w:cs="Times New Roman"/>
        </w:rPr>
        <w:t>バルト</w:t>
      </w:r>
      <w:r w:rsidR="00ED2337" w:rsidRPr="003D2124">
        <w:rPr>
          <w:rFonts w:ascii="Times New Roman" w:hAnsi="Times New Roman" w:cs="Times New Roman"/>
        </w:rPr>
        <w:t>3</w:t>
      </w:r>
      <w:r w:rsidR="00ED2337" w:rsidRPr="003D2124">
        <w:rPr>
          <w:rFonts w:ascii="Times New Roman" w:hAnsi="Times New Roman" w:cs="Times New Roman"/>
        </w:rPr>
        <w:t>国では、北欧、とくにスウェーデンの銀行が進出し、</w:t>
      </w:r>
      <w:r w:rsidR="00BA5DAD">
        <w:rPr>
          <w:rFonts w:ascii="Times New Roman" w:hAnsi="Times New Roman" w:cs="Times New Roman" w:hint="eastAsia"/>
        </w:rPr>
        <w:t>激しい</w:t>
      </w:r>
      <w:r w:rsidR="00ED2337" w:rsidRPr="003D2124">
        <w:rPr>
          <w:rFonts w:ascii="Times New Roman" w:hAnsi="Times New Roman" w:cs="Times New Roman"/>
        </w:rPr>
        <w:t>シェア競争</w:t>
      </w:r>
      <w:r w:rsidR="00BA5DAD">
        <w:rPr>
          <w:rFonts w:ascii="Times New Roman" w:hAnsi="Times New Roman" w:cs="Times New Roman" w:hint="eastAsia"/>
        </w:rPr>
        <w:t>を行い、</w:t>
      </w:r>
      <w:r w:rsidR="00ED2337" w:rsidRPr="003D2124">
        <w:rPr>
          <w:rFonts w:ascii="Times New Roman" w:hAnsi="Times New Roman" w:cs="Times New Roman"/>
        </w:rPr>
        <w:t>本国市場とほぼ同じ条件でローンを提供</w:t>
      </w:r>
      <w:r w:rsidR="00BA5DAD">
        <w:rPr>
          <w:rFonts w:ascii="Times New Roman" w:hAnsi="Times New Roman" w:cs="Times New Roman" w:hint="eastAsia"/>
        </w:rPr>
        <w:t>した</w:t>
      </w:r>
      <w:r w:rsidR="00ED2337" w:rsidRPr="003D2124">
        <w:rPr>
          <w:rFonts w:ascii="Times New Roman" w:hAnsi="Times New Roman" w:cs="Times New Roman"/>
        </w:rPr>
        <w:t>。スロヴェニアでは</w:t>
      </w:r>
      <w:r w:rsidR="00BA5DAD">
        <w:rPr>
          <w:rFonts w:ascii="Times New Roman" w:hAnsi="Times New Roman" w:cs="Times New Roman" w:hint="eastAsia"/>
        </w:rPr>
        <w:t>外資系銀行のウェートは小さい。しかし、国家のコントロール下にある銀行もヨーロッパの銀行間の競争から逃れることができなかった。</w:t>
      </w:r>
      <w:r w:rsidR="00ED2337" w:rsidRPr="003D2124">
        <w:rPr>
          <w:rFonts w:ascii="Times New Roman" w:hAnsi="Times New Roman" w:cs="Times New Roman"/>
        </w:rPr>
        <w:t>土着の銀行が国際的ホールセール金融市場で積極的に短期資金を取り入れ、国内の企業に融資</w:t>
      </w:r>
      <w:r w:rsidR="00BA5DAD">
        <w:rPr>
          <w:rFonts w:ascii="Times New Roman" w:hAnsi="Times New Roman" w:cs="Times New Roman" w:hint="eastAsia"/>
        </w:rPr>
        <w:t>した</w:t>
      </w:r>
      <w:r w:rsidR="00ED2337" w:rsidRPr="003D2124">
        <w:rPr>
          <w:rFonts w:ascii="Times New Roman" w:hAnsi="Times New Roman" w:cs="Times New Roman"/>
        </w:rPr>
        <w:t>。</w:t>
      </w:r>
    </w:p>
    <w:p w:rsidR="00ED2337" w:rsidRPr="003D2124" w:rsidRDefault="00ED2337" w:rsidP="00BA5DAD">
      <w:pPr>
        <w:ind w:firstLineChars="100" w:firstLine="210"/>
        <w:rPr>
          <w:rFonts w:ascii="Times New Roman" w:hAnsi="Times New Roman" w:cs="Times New Roman"/>
        </w:rPr>
      </w:pPr>
      <w:r w:rsidRPr="003D2124">
        <w:rPr>
          <w:rFonts w:ascii="Times New Roman" w:hAnsi="Times New Roman" w:cs="Times New Roman"/>
        </w:rPr>
        <w:t>いずれの場合も、経済を加熱</w:t>
      </w:r>
      <w:r w:rsidR="00BA5DAD">
        <w:rPr>
          <w:rFonts w:ascii="Times New Roman" w:hAnsi="Times New Roman" w:cs="Times New Roman" w:hint="eastAsia"/>
        </w:rPr>
        <w:t>させ、一種のカジノ経済を生み出した</w:t>
      </w:r>
      <w:r w:rsidRPr="003D2124">
        <w:rPr>
          <w:rFonts w:ascii="Times New Roman" w:hAnsi="Times New Roman" w:cs="Times New Roman"/>
        </w:rPr>
        <w:t>。</w:t>
      </w:r>
      <w:r w:rsidR="00BA5DAD">
        <w:rPr>
          <w:rFonts w:ascii="Times New Roman" w:hAnsi="Times New Roman" w:cs="Times New Roman" w:hint="eastAsia"/>
        </w:rPr>
        <w:t>ラトヴィアはすでに</w:t>
      </w:r>
      <w:r w:rsidR="00BA5DAD">
        <w:rPr>
          <w:rFonts w:ascii="Times New Roman" w:hAnsi="Times New Roman" w:cs="Times New Roman" w:hint="eastAsia"/>
        </w:rPr>
        <w:t>2007</w:t>
      </w:r>
      <w:r w:rsidR="00BA5DAD">
        <w:rPr>
          <w:rFonts w:ascii="Times New Roman" w:hAnsi="Times New Roman" w:cs="Times New Roman" w:hint="eastAsia"/>
        </w:rPr>
        <w:t>年</w:t>
      </w:r>
      <w:r w:rsidR="00CC7F9A">
        <w:rPr>
          <w:rFonts w:ascii="Times New Roman" w:hAnsi="Times New Roman" w:cs="Times New Roman" w:hint="eastAsia"/>
        </w:rPr>
        <w:t>末</w:t>
      </w:r>
      <w:r w:rsidR="00BA5DAD">
        <w:rPr>
          <w:rFonts w:ascii="Times New Roman" w:hAnsi="Times New Roman" w:cs="Times New Roman" w:hint="eastAsia"/>
        </w:rPr>
        <w:t>に景気後退局面に入っていたが、</w:t>
      </w:r>
      <w:r w:rsidR="00BA5DAD">
        <w:rPr>
          <w:rFonts w:ascii="Times New Roman" w:hAnsi="Times New Roman" w:cs="Times New Roman" w:hint="eastAsia"/>
        </w:rPr>
        <w:t>2008</w:t>
      </w:r>
      <w:r w:rsidR="00BA5DAD">
        <w:rPr>
          <w:rFonts w:ascii="Times New Roman" w:hAnsi="Times New Roman" w:cs="Times New Roman" w:hint="eastAsia"/>
        </w:rPr>
        <w:t>年</w:t>
      </w:r>
      <w:r w:rsidR="00BA5DAD">
        <w:rPr>
          <w:rFonts w:ascii="Times New Roman" w:hAnsi="Times New Roman" w:cs="Times New Roman" w:hint="eastAsia"/>
        </w:rPr>
        <w:t>9</w:t>
      </w:r>
      <w:r w:rsidR="00BA5DAD">
        <w:rPr>
          <w:rFonts w:ascii="Times New Roman" w:hAnsi="Times New Roman" w:cs="Times New Roman" w:hint="eastAsia"/>
        </w:rPr>
        <w:t>月の</w:t>
      </w:r>
      <w:r w:rsidRPr="003D2124">
        <w:rPr>
          <w:rFonts w:ascii="Times New Roman" w:hAnsi="Times New Roman" w:cs="Times New Roman"/>
        </w:rPr>
        <w:t>リーマン・ショックは</w:t>
      </w:r>
      <w:r w:rsidR="00BA5DAD">
        <w:rPr>
          <w:rFonts w:ascii="Times New Roman" w:hAnsi="Times New Roman" w:cs="Times New Roman" w:hint="eastAsia"/>
        </w:rPr>
        <w:t>それにさらに追い打ちをかけ、経済に大きな打撃を与えた。</w:t>
      </w:r>
      <w:r w:rsidR="008E7265">
        <w:rPr>
          <w:rFonts w:ascii="Times New Roman" w:hAnsi="Times New Roman" w:cs="Times New Roman" w:hint="eastAsia"/>
        </w:rPr>
        <w:t>2009</w:t>
      </w:r>
      <w:r w:rsidR="008E7265">
        <w:rPr>
          <w:rFonts w:ascii="Times New Roman" w:hAnsi="Times New Roman" w:cs="Times New Roman" w:hint="eastAsia"/>
        </w:rPr>
        <w:t>年</w:t>
      </w:r>
      <w:r w:rsidR="008E7265">
        <w:rPr>
          <w:rFonts w:ascii="Times New Roman" w:hAnsi="Times New Roman" w:cs="Times New Roman" w:hint="eastAsia"/>
        </w:rPr>
        <w:t>1</w:t>
      </w:r>
      <w:r w:rsidR="008E7265">
        <w:rPr>
          <w:rFonts w:ascii="Times New Roman" w:hAnsi="Times New Roman" w:cs="Times New Roman" w:hint="eastAsia"/>
        </w:rPr>
        <w:t>月にラトヴィアほか、ハンガリー、ルーマニア、セルビア、ボスニア・ヘルツェゴヴィナを対象として、ウィーン・イニシャティヴが開始された。これは</w:t>
      </w:r>
      <w:r w:rsidR="00CC7F9A">
        <w:rPr>
          <w:rFonts w:ascii="Times New Roman" w:hAnsi="Times New Roman" w:cs="Times New Roman" w:hint="eastAsia"/>
        </w:rPr>
        <w:t>EBRD</w:t>
      </w:r>
      <w:r w:rsidR="00CC7F9A">
        <w:rPr>
          <w:rFonts w:ascii="Times New Roman" w:hAnsi="Times New Roman" w:cs="Times New Roman" w:hint="eastAsia"/>
        </w:rPr>
        <w:t>が</w:t>
      </w:r>
      <w:r w:rsidR="008E7265">
        <w:rPr>
          <w:rFonts w:ascii="Times New Roman" w:hAnsi="Times New Roman" w:cs="Times New Roman" w:hint="eastAsia"/>
        </w:rPr>
        <w:t>1997</w:t>
      </w:r>
      <w:r w:rsidR="008E7265">
        <w:rPr>
          <w:rFonts w:ascii="Times New Roman" w:hAnsi="Times New Roman" w:cs="Times New Roman" w:hint="eastAsia"/>
        </w:rPr>
        <w:t>年の東アジアの金融危機のときのような</w:t>
      </w:r>
      <w:r w:rsidR="008E7265">
        <w:rPr>
          <w:rFonts w:ascii="Times New Roman" w:hAnsi="Times New Roman" w:cs="Times New Roman" w:hint="eastAsia"/>
        </w:rPr>
        <w:lastRenderedPageBreak/>
        <w:t>資金の大量流出を避けるために、</w:t>
      </w:r>
      <w:r w:rsidR="00CC7F9A">
        <w:rPr>
          <w:rFonts w:ascii="Times New Roman" w:hAnsi="Times New Roman" w:cs="Times New Roman" w:hint="eastAsia"/>
        </w:rPr>
        <w:t>中東欧にクロス・ボーダーの貸付けをしている</w:t>
      </w:r>
      <w:r w:rsidR="008E7265">
        <w:rPr>
          <w:rFonts w:ascii="Times New Roman" w:hAnsi="Times New Roman" w:cs="Times New Roman" w:hint="eastAsia"/>
        </w:rPr>
        <w:t>ヨーロッパの大銀行グループに呼びかけて実施されたものであるが、その効果は限定的であった。</w:t>
      </w:r>
      <w:r w:rsidR="00783D7B">
        <w:rPr>
          <w:rFonts w:ascii="Times New Roman" w:hAnsi="Times New Roman" w:cs="Times New Roman" w:hint="eastAsia"/>
        </w:rPr>
        <w:t>スロヴェニアでも、リーマン・ショックは</w:t>
      </w:r>
      <w:r w:rsidRPr="003D2124">
        <w:rPr>
          <w:rFonts w:ascii="Times New Roman" w:hAnsi="Times New Roman" w:cs="Times New Roman"/>
        </w:rPr>
        <w:t>資金の流れを逆転させ</w:t>
      </w:r>
      <w:r w:rsidR="0086325D" w:rsidRPr="003D2124">
        <w:rPr>
          <w:rFonts w:ascii="Times New Roman" w:hAnsi="Times New Roman" w:cs="Times New Roman"/>
        </w:rPr>
        <w:t>、バブルがはじけ</w:t>
      </w:r>
      <w:r w:rsidR="00783D7B">
        <w:rPr>
          <w:rFonts w:ascii="Times New Roman" w:hAnsi="Times New Roman" w:cs="Times New Roman" w:hint="eastAsia"/>
        </w:rPr>
        <w:t>た</w:t>
      </w:r>
      <w:r w:rsidR="0086325D" w:rsidRPr="003D2124">
        <w:rPr>
          <w:rFonts w:ascii="Times New Roman" w:hAnsi="Times New Roman" w:cs="Times New Roman"/>
        </w:rPr>
        <w:t>。</w:t>
      </w:r>
    </w:p>
    <w:p w:rsidR="00D20793" w:rsidRDefault="0086325D" w:rsidP="009D1D00">
      <w:pPr>
        <w:ind w:firstLineChars="100" w:firstLine="210"/>
        <w:rPr>
          <w:rFonts w:ascii="Times New Roman" w:hAnsi="Times New Roman" w:cs="Times New Roman"/>
        </w:rPr>
      </w:pPr>
      <w:r w:rsidRPr="003D2124">
        <w:rPr>
          <w:rFonts w:ascii="Times New Roman" w:hAnsi="Times New Roman" w:cs="Times New Roman"/>
        </w:rPr>
        <w:t>バルト</w:t>
      </w:r>
      <w:r w:rsidRPr="003D2124">
        <w:rPr>
          <w:rFonts w:ascii="Times New Roman" w:hAnsi="Times New Roman" w:cs="Times New Roman"/>
        </w:rPr>
        <w:t>3</w:t>
      </w:r>
      <w:r w:rsidRPr="003D2124">
        <w:rPr>
          <w:rFonts w:ascii="Times New Roman" w:hAnsi="Times New Roman" w:cs="Times New Roman"/>
        </w:rPr>
        <w:t>国では外国の親銀行が何とか支えた。</w:t>
      </w:r>
      <w:r w:rsidR="00FF15D1" w:rsidRPr="003D2124">
        <w:rPr>
          <w:rFonts w:ascii="Times New Roman" w:hAnsi="Times New Roman" w:cs="Times New Roman"/>
        </w:rPr>
        <w:t>ラトヴィアは涙ぐましい努力（「内部的切り下げ」）と対ロシア輸出の増加により</w:t>
      </w:r>
      <w:r w:rsidR="00FF15D1" w:rsidRPr="003D2124">
        <w:rPr>
          <w:rFonts w:ascii="Times New Roman" w:hAnsi="Times New Roman" w:cs="Times New Roman"/>
        </w:rPr>
        <w:t>V</w:t>
      </w:r>
      <w:r w:rsidR="00FF15D1" w:rsidRPr="003D2124">
        <w:rPr>
          <w:rFonts w:ascii="Times New Roman" w:hAnsi="Times New Roman" w:cs="Times New Roman"/>
        </w:rPr>
        <w:t>字回復</w:t>
      </w:r>
      <w:r w:rsidR="009D1D00">
        <w:rPr>
          <w:rFonts w:ascii="Times New Roman" w:hAnsi="Times New Roman" w:cs="Times New Roman" w:hint="eastAsia"/>
        </w:rPr>
        <w:t>を遂げた</w:t>
      </w:r>
      <w:r w:rsidR="00FF15D1" w:rsidRPr="003D2124">
        <w:rPr>
          <w:rFonts w:ascii="Times New Roman" w:hAnsi="Times New Roman" w:cs="Times New Roman"/>
        </w:rPr>
        <w:t>。</w:t>
      </w:r>
      <w:r w:rsidR="00D20793">
        <w:rPr>
          <w:rFonts w:ascii="Times New Roman" w:hAnsi="Times New Roman" w:cs="Times New Roman" w:hint="eastAsia"/>
        </w:rPr>
        <w:t>EMU</w:t>
      </w:r>
      <w:r w:rsidR="00D20793">
        <w:rPr>
          <w:rFonts w:ascii="Times New Roman" w:hAnsi="Times New Roman" w:cs="Times New Roman" w:hint="eastAsia"/>
        </w:rPr>
        <w:t>に加盟すれば、金融政策の自由を失うにもかかわらず、ラトヴィアは</w:t>
      </w:r>
      <w:r w:rsidR="00D20793">
        <w:rPr>
          <w:rFonts w:ascii="Times New Roman" w:hAnsi="Times New Roman" w:cs="Times New Roman" w:hint="eastAsia"/>
        </w:rPr>
        <w:t>2014</w:t>
      </w:r>
      <w:r w:rsidR="00D20793">
        <w:rPr>
          <w:rFonts w:ascii="Times New Roman" w:hAnsi="Times New Roman" w:cs="Times New Roman" w:hint="eastAsia"/>
        </w:rPr>
        <w:t>年</w:t>
      </w:r>
      <w:r w:rsidR="00D20793">
        <w:rPr>
          <w:rFonts w:ascii="Times New Roman" w:hAnsi="Times New Roman" w:cs="Times New Roman" w:hint="eastAsia"/>
        </w:rPr>
        <w:t>1</w:t>
      </w:r>
      <w:r w:rsidR="00D20793">
        <w:rPr>
          <w:rFonts w:ascii="Times New Roman" w:hAnsi="Times New Roman" w:cs="Times New Roman" w:hint="eastAsia"/>
        </w:rPr>
        <w:t>月</w:t>
      </w:r>
      <w:r w:rsidR="00D20793">
        <w:rPr>
          <w:rFonts w:ascii="Times New Roman" w:hAnsi="Times New Roman" w:cs="Times New Roman" w:hint="eastAsia"/>
        </w:rPr>
        <w:t>1</w:t>
      </w:r>
      <w:r w:rsidR="00D20793">
        <w:rPr>
          <w:rFonts w:ascii="Times New Roman" w:hAnsi="Times New Roman" w:cs="Times New Roman" w:hint="eastAsia"/>
        </w:rPr>
        <w:t>日にユーロを導入した。「より安全な避難所」としてユーロ圏入りを選択したのである。リトアニアにも</w:t>
      </w:r>
      <w:r w:rsidR="00D20793">
        <w:rPr>
          <w:rFonts w:ascii="Times New Roman" w:hAnsi="Times New Roman" w:cs="Times New Roman" w:hint="eastAsia"/>
        </w:rPr>
        <w:t>2015</w:t>
      </w:r>
      <w:r w:rsidR="00D20793">
        <w:rPr>
          <w:rFonts w:ascii="Times New Roman" w:hAnsi="Times New Roman" w:cs="Times New Roman" w:hint="eastAsia"/>
        </w:rPr>
        <w:t>年</w:t>
      </w:r>
      <w:r w:rsidR="00D20793">
        <w:rPr>
          <w:rFonts w:ascii="Times New Roman" w:hAnsi="Times New Roman" w:cs="Times New Roman" w:hint="eastAsia"/>
        </w:rPr>
        <w:t>1</w:t>
      </w:r>
      <w:r w:rsidR="00D20793">
        <w:rPr>
          <w:rFonts w:ascii="Times New Roman" w:hAnsi="Times New Roman" w:cs="Times New Roman" w:hint="eastAsia"/>
        </w:rPr>
        <w:t>月</w:t>
      </w:r>
      <w:r w:rsidR="00D20793">
        <w:rPr>
          <w:rFonts w:ascii="Times New Roman" w:hAnsi="Times New Roman" w:cs="Times New Roman" w:hint="eastAsia"/>
        </w:rPr>
        <w:t>1</w:t>
      </w:r>
      <w:r w:rsidR="00D20793">
        <w:rPr>
          <w:rFonts w:ascii="Times New Roman" w:hAnsi="Times New Roman" w:cs="Times New Roman" w:hint="eastAsia"/>
        </w:rPr>
        <w:t>日にユーロ導入する</w:t>
      </w:r>
      <w:r w:rsidR="00D640E8">
        <w:rPr>
          <w:rFonts w:ascii="Times New Roman" w:hAnsi="Times New Roman" w:cs="Times New Roman" w:hint="eastAsia"/>
        </w:rPr>
        <w:t>（エストニアはすでに</w:t>
      </w:r>
      <w:r w:rsidR="00D640E8">
        <w:rPr>
          <w:rFonts w:ascii="Times New Roman" w:hAnsi="Times New Roman" w:cs="Times New Roman" w:hint="eastAsia"/>
        </w:rPr>
        <w:t>2009</w:t>
      </w:r>
      <w:r w:rsidR="00D640E8">
        <w:rPr>
          <w:rFonts w:ascii="Times New Roman" w:hAnsi="Times New Roman" w:cs="Times New Roman" w:hint="eastAsia"/>
        </w:rPr>
        <w:t>年</w:t>
      </w:r>
      <w:r w:rsidR="00D640E8">
        <w:rPr>
          <w:rFonts w:ascii="Times New Roman" w:hAnsi="Times New Roman" w:cs="Times New Roman" w:hint="eastAsia"/>
        </w:rPr>
        <w:t>1</w:t>
      </w:r>
      <w:r w:rsidR="00D640E8">
        <w:rPr>
          <w:rFonts w:ascii="Times New Roman" w:hAnsi="Times New Roman" w:cs="Times New Roman" w:hint="eastAsia"/>
        </w:rPr>
        <w:t>月</w:t>
      </w:r>
      <w:r w:rsidR="00D640E8">
        <w:rPr>
          <w:rFonts w:ascii="Times New Roman" w:hAnsi="Times New Roman" w:cs="Times New Roman" w:hint="eastAsia"/>
        </w:rPr>
        <w:t>1</w:t>
      </w:r>
      <w:r w:rsidR="00D640E8">
        <w:rPr>
          <w:rFonts w:ascii="Times New Roman" w:hAnsi="Times New Roman" w:cs="Times New Roman" w:hint="eastAsia"/>
        </w:rPr>
        <w:t>日にユーロを導入している）</w:t>
      </w:r>
      <w:r w:rsidR="00D20793">
        <w:rPr>
          <w:rFonts w:ascii="Times New Roman" w:hAnsi="Times New Roman" w:cs="Times New Roman" w:hint="eastAsia"/>
        </w:rPr>
        <w:t>。</w:t>
      </w:r>
      <w:r w:rsidR="00831AFF">
        <w:rPr>
          <w:rFonts w:ascii="Times New Roman" w:hAnsi="Times New Roman" w:cs="Times New Roman" w:hint="eastAsia"/>
        </w:rPr>
        <w:t>外資系銀行のウェートが小さいスロヴェニアでは、銀行システムを守るために政府が資本注入をせざるを得なくなり、多額の財政負担でいま苦しんでいる。</w:t>
      </w:r>
    </w:p>
    <w:p w:rsidR="00576BC9" w:rsidRDefault="0086325D" w:rsidP="00783D7B">
      <w:pPr>
        <w:ind w:firstLineChars="100" w:firstLine="210"/>
        <w:rPr>
          <w:rFonts w:ascii="Times New Roman" w:hAnsi="Times New Roman" w:cs="Times New Roman"/>
        </w:rPr>
      </w:pPr>
      <w:r w:rsidRPr="003D2124">
        <w:rPr>
          <w:rFonts w:ascii="Times New Roman" w:hAnsi="Times New Roman" w:cs="Times New Roman"/>
        </w:rPr>
        <w:t>スロヴェニアの危機は、ギリシャ危機やキプロス危機ともタイプが異なる。</w:t>
      </w:r>
      <w:r w:rsidRPr="003D2124">
        <w:rPr>
          <w:rFonts w:ascii="Times New Roman" w:hAnsi="Times New Roman" w:cs="Times New Roman"/>
        </w:rPr>
        <w:t>2008</w:t>
      </w:r>
      <w:r w:rsidRPr="003D2124">
        <w:rPr>
          <w:rFonts w:ascii="Times New Roman" w:hAnsi="Times New Roman" w:cs="Times New Roman"/>
        </w:rPr>
        <w:t>年まで財政は健全</w:t>
      </w:r>
      <w:r w:rsidR="00D20793">
        <w:rPr>
          <w:rFonts w:ascii="Times New Roman" w:hAnsi="Times New Roman" w:cs="Times New Roman" w:hint="eastAsia"/>
        </w:rPr>
        <w:t>であった</w:t>
      </w:r>
      <w:r w:rsidRPr="003D2124">
        <w:rPr>
          <w:rFonts w:ascii="Times New Roman" w:hAnsi="Times New Roman" w:cs="Times New Roman"/>
        </w:rPr>
        <w:t>。観光立国を目指さず、比較的強い製造業を持ち、貿易収支赤字も経常収支赤字もともに</w:t>
      </w:r>
      <w:r w:rsidR="0085612B" w:rsidRPr="003D2124">
        <w:rPr>
          <w:rFonts w:ascii="Times New Roman" w:hAnsi="Times New Roman" w:cs="Times New Roman"/>
        </w:rPr>
        <w:t>小さく、ほぼ均衡していた。</w:t>
      </w:r>
      <w:r w:rsidR="000E7A35">
        <w:rPr>
          <w:rFonts w:ascii="Times New Roman" w:hAnsi="Times New Roman" w:cs="Times New Roman" w:hint="eastAsia"/>
        </w:rPr>
        <w:t>この国は地道なモノ作りに励み、</w:t>
      </w:r>
      <w:r w:rsidR="00EF6523">
        <w:rPr>
          <w:rFonts w:ascii="Times New Roman" w:hAnsi="Times New Roman" w:cs="Times New Roman" w:hint="eastAsia"/>
        </w:rPr>
        <w:t>2000</w:t>
      </w:r>
      <w:r w:rsidR="00EF6523">
        <w:rPr>
          <w:rFonts w:ascii="Times New Roman" w:hAnsi="Times New Roman" w:cs="Times New Roman" w:hint="eastAsia"/>
        </w:rPr>
        <w:t>年代半ばまでネオ・コーポラティズムの下で着実な経済発展を遂げ</w:t>
      </w:r>
      <w:r w:rsidR="000E7A35">
        <w:rPr>
          <w:rFonts w:ascii="Times New Roman" w:hAnsi="Times New Roman" w:cs="Times New Roman" w:hint="eastAsia"/>
        </w:rPr>
        <w:t>た。しかし、</w:t>
      </w:r>
      <w:r w:rsidR="00EF6523">
        <w:rPr>
          <w:rFonts w:ascii="Times New Roman" w:hAnsi="Times New Roman" w:cs="Times New Roman" w:hint="eastAsia"/>
        </w:rPr>
        <w:t>2004</w:t>
      </w:r>
      <w:r w:rsidR="00EF6523">
        <w:rPr>
          <w:rFonts w:ascii="Times New Roman" w:hAnsi="Times New Roman" w:cs="Times New Roman" w:hint="eastAsia"/>
        </w:rPr>
        <w:t>年秋の総選挙後成立した中道右派政権は新自由主義的な改革に乗り出し、「ギャンブルの時代」が始まった。</w:t>
      </w:r>
      <w:r w:rsidR="007E501F">
        <w:rPr>
          <w:rFonts w:ascii="Times New Roman" w:hAnsi="Times New Roman" w:cs="Times New Roman" w:hint="eastAsia"/>
        </w:rPr>
        <w:t>中央銀行は、</w:t>
      </w:r>
      <w:r w:rsidR="007E501F">
        <w:rPr>
          <w:rFonts w:ascii="Times New Roman" w:hAnsi="Times New Roman" w:cs="Times New Roman" w:hint="eastAsia"/>
        </w:rPr>
        <w:t>2005</w:t>
      </w:r>
      <w:r w:rsidR="007E501F">
        <w:rPr>
          <w:rFonts w:ascii="Times New Roman" w:hAnsi="Times New Roman" w:cs="Times New Roman" w:hint="eastAsia"/>
        </w:rPr>
        <w:t>年から</w:t>
      </w:r>
      <w:r w:rsidR="007E501F">
        <w:rPr>
          <w:rFonts w:ascii="Times New Roman" w:hAnsi="Times New Roman" w:cs="Times New Roman" w:hint="eastAsia"/>
        </w:rPr>
        <w:t>2008</w:t>
      </w:r>
      <w:r w:rsidR="007E501F">
        <w:rPr>
          <w:rFonts w:ascii="Times New Roman" w:hAnsi="Times New Roman" w:cs="Times New Roman" w:hint="eastAsia"/>
        </w:rPr>
        <w:t>年にかけて国内の銀行が国際ホールセール金融市場で低金利で多額の借入れをし、企業に積極的に貸付けるというモデルに対して用心深くはなく、国境を越えた資金の流れを規制しなかった（または、できなかった）。むしろ、中央銀行は金融統合に関しては非常に楽天的であったとさえ言える。</w:t>
      </w:r>
      <w:r w:rsidR="00A120CD" w:rsidRPr="00A120CD">
        <w:rPr>
          <w:rFonts w:ascii="Times New Roman" w:hAnsi="Times New Roman" w:cs="Times New Roman" w:hint="eastAsia"/>
        </w:rPr>
        <w:t>さらに、第</w:t>
      </w:r>
      <w:r w:rsidR="00A120CD" w:rsidRPr="00A120CD">
        <w:rPr>
          <w:rFonts w:ascii="Times New Roman" w:hAnsi="Times New Roman" w:cs="Times New Roman"/>
        </w:rPr>
        <w:t>2</w:t>
      </w:r>
      <w:r w:rsidR="00A120CD" w:rsidRPr="00A120CD">
        <w:rPr>
          <w:rFonts w:ascii="Times New Roman" w:hAnsi="Times New Roman" w:cs="Times New Roman" w:hint="eastAsia"/>
        </w:rPr>
        <w:t>次民営化が</w:t>
      </w:r>
      <w:r w:rsidR="00A120CD" w:rsidRPr="00A120CD">
        <w:rPr>
          <w:rFonts w:ascii="Times New Roman" w:hAnsi="Times New Roman" w:cs="Times New Roman"/>
        </w:rPr>
        <w:t>MBO</w:t>
      </w:r>
      <w:r w:rsidR="00A120CD" w:rsidRPr="00A120CD">
        <w:rPr>
          <w:rFonts w:ascii="Times New Roman" w:hAnsi="Times New Roman" w:cs="Times New Roman" w:hint="eastAsia"/>
        </w:rPr>
        <w:t>方式で行われ、時期的にリーマン・ショックと重な</w:t>
      </w:r>
      <w:r w:rsidR="00F93A15">
        <w:rPr>
          <w:rFonts w:ascii="Times New Roman" w:hAnsi="Times New Roman" w:cs="Times New Roman" w:hint="eastAsia"/>
        </w:rPr>
        <w:t>ったこともこの国にとって不運であった</w:t>
      </w:r>
      <w:r w:rsidR="00A120CD" w:rsidRPr="00A120CD">
        <w:rPr>
          <w:rFonts w:ascii="Times New Roman" w:hAnsi="Times New Roman" w:cs="Times New Roman" w:hint="eastAsia"/>
        </w:rPr>
        <w:t>る</w:t>
      </w:r>
      <w:r w:rsidR="00A120CD">
        <w:rPr>
          <w:rFonts w:ascii="Times New Roman" w:hAnsi="Times New Roman" w:cs="Times New Roman" w:hint="eastAsia"/>
        </w:rPr>
        <w:t>。</w:t>
      </w:r>
      <w:r w:rsidR="007E501F">
        <w:rPr>
          <w:rFonts w:ascii="Times New Roman" w:hAnsi="Times New Roman" w:cs="Times New Roman" w:hint="eastAsia"/>
        </w:rPr>
        <w:t>あと知恵ではあるが、中央銀行は、外資系銀行には直接の監督権限が及ばないにしても、国内資本の銀行には、外国からの資金の流入が前年に比べて急激に増えた</w:t>
      </w:r>
      <w:r w:rsidR="007E501F">
        <w:rPr>
          <w:rFonts w:ascii="Times New Roman" w:hAnsi="Times New Roman" w:cs="Times New Roman" w:hint="eastAsia"/>
        </w:rPr>
        <w:t>2007</w:t>
      </w:r>
      <w:r w:rsidR="007E501F">
        <w:rPr>
          <w:rFonts w:ascii="Times New Roman" w:hAnsi="Times New Roman" w:cs="Times New Roman" w:hint="eastAsia"/>
        </w:rPr>
        <w:t>年に何らかの警告を与えていれば、スロヴェニア経済はグローバル金融危機によってこれほどのダメージを受けなくて済んだかもしれない。</w:t>
      </w:r>
    </w:p>
    <w:p w:rsidR="00576BC9" w:rsidRDefault="007E501F" w:rsidP="00783D7B">
      <w:pPr>
        <w:ind w:firstLineChars="100" w:firstLine="210"/>
        <w:rPr>
          <w:rFonts w:ascii="Times New Roman" w:hAnsi="Times New Roman" w:cs="Times New Roman"/>
        </w:rPr>
      </w:pPr>
      <w:r>
        <w:rPr>
          <w:rFonts w:ascii="Times New Roman" w:hAnsi="Times New Roman" w:cs="Times New Roman" w:hint="eastAsia"/>
        </w:rPr>
        <w:t>2000</w:t>
      </w:r>
      <w:r>
        <w:rPr>
          <w:rFonts w:ascii="Times New Roman" w:hAnsi="Times New Roman" w:cs="Times New Roman" w:hint="eastAsia"/>
        </w:rPr>
        <w:t>年代半ばの時点では、</w:t>
      </w:r>
      <w:r>
        <w:rPr>
          <w:rFonts w:ascii="Times New Roman" w:hAnsi="Times New Roman" w:cs="Times New Roman" w:hint="eastAsia"/>
        </w:rPr>
        <w:t>EU</w:t>
      </w:r>
      <w:r>
        <w:rPr>
          <w:rFonts w:ascii="Times New Roman" w:hAnsi="Times New Roman" w:cs="Times New Roman" w:hint="eastAsia"/>
        </w:rPr>
        <w:t>の金融監督の体制は非常に不十分であった。</w:t>
      </w:r>
      <w:r w:rsidR="00831AFF">
        <w:rPr>
          <w:rFonts w:ascii="Times New Roman" w:hAnsi="Times New Roman" w:cs="Times New Roman" w:hint="eastAsia"/>
        </w:rPr>
        <w:t>当時、</w:t>
      </w:r>
      <w:r w:rsidR="00831AFF">
        <w:rPr>
          <w:rFonts w:ascii="Times New Roman" w:hAnsi="Times New Roman" w:cs="Times New Roman" w:hint="eastAsia"/>
        </w:rPr>
        <w:t>EU</w:t>
      </w:r>
      <w:r w:rsidR="00831AFF">
        <w:rPr>
          <w:rFonts w:ascii="Times New Roman" w:hAnsi="Times New Roman" w:cs="Times New Roman" w:hint="eastAsia"/>
        </w:rPr>
        <w:t>では銀行の母国が監督責任を持つことになっていた。ラトヴィアの場合、主としてスウェーデンの当局に監督責任があったが、ラトヴィア国内では</w:t>
      </w:r>
      <w:r w:rsidR="004E2730">
        <w:rPr>
          <w:rFonts w:ascii="Times New Roman" w:hAnsi="Times New Roman" w:cs="Times New Roman" w:hint="eastAsia"/>
        </w:rPr>
        <w:t>スウェーデン系の銀行に対して</w:t>
      </w:r>
      <w:r w:rsidR="00831AFF">
        <w:rPr>
          <w:rFonts w:ascii="Times New Roman" w:hAnsi="Times New Roman" w:cs="Times New Roman" w:hint="eastAsia"/>
        </w:rPr>
        <w:t>十分な規制をしなかった。スロヴェニアの場合、主として自国の中央銀行に監督責任があったが、上述のように、</w:t>
      </w:r>
      <w:r w:rsidR="004E2730">
        <w:rPr>
          <w:rFonts w:ascii="Times New Roman" w:hAnsi="Times New Roman" w:cs="Times New Roman" w:hint="eastAsia"/>
        </w:rPr>
        <w:t>外国からの資金の急激な増加について中央銀行自身がまったく警戒心を持たなかった。</w:t>
      </w:r>
      <w:r w:rsidR="004E2730">
        <w:rPr>
          <w:rFonts w:ascii="Times New Roman" w:hAnsi="Times New Roman" w:cs="Times New Roman" w:hint="eastAsia"/>
        </w:rPr>
        <w:t>EU</w:t>
      </w:r>
      <w:r w:rsidR="004E2730">
        <w:rPr>
          <w:rFonts w:ascii="Times New Roman" w:hAnsi="Times New Roman" w:cs="Times New Roman" w:hint="eastAsia"/>
        </w:rPr>
        <w:t>が「マクロ経済不均衡是正手続」を設けたのはようやく</w:t>
      </w:r>
      <w:r w:rsidR="004E2730">
        <w:rPr>
          <w:rFonts w:ascii="Times New Roman" w:hAnsi="Times New Roman" w:cs="Times New Roman" w:hint="eastAsia"/>
        </w:rPr>
        <w:t>2010</w:t>
      </w:r>
      <w:r w:rsidR="004E2730">
        <w:rPr>
          <w:rFonts w:ascii="Times New Roman" w:hAnsi="Times New Roman" w:cs="Times New Roman" w:hint="eastAsia"/>
        </w:rPr>
        <w:t>年になってからであった。</w:t>
      </w:r>
    </w:p>
    <w:p w:rsidR="00FD3B95" w:rsidRPr="003D2124" w:rsidRDefault="00FD3B95">
      <w:pPr>
        <w:rPr>
          <w:rFonts w:ascii="Times New Roman" w:hAnsi="Times New Roman" w:cs="Times New Roman"/>
        </w:rPr>
      </w:pPr>
    </w:p>
    <w:p w:rsidR="00FD3B95" w:rsidRPr="003D2124" w:rsidRDefault="00FD3B95">
      <w:pPr>
        <w:rPr>
          <w:rFonts w:ascii="Times New Roman" w:hAnsi="Times New Roman" w:cs="Times New Roman"/>
          <w:b/>
        </w:rPr>
      </w:pPr>
      <w:r w:rsidRPr="003D2124">
        <w:rPr>
          <w:rFonts w:ascii="Times New Roman" w:hAnsi="Times New Roman" w:cs="Times New Roman"/>
          <w:b/>
        </w:rPr>
        <w:t>参考文献</w:t>
      </w:r>
    </w:p>
    <w:p w:rsidR="007E2086" w:rsidRDefault="007E2086" w:rsidP="0032738C">
      <w:pPr>
        <w:ind w:left="210" w:hangingChars="100" w:hanging="210"/>
        <w:rPr>
          <w:rFonts w:ascii="Times New Roman" w:hAnsi="Times New Roman" w:cs="Times New Roman"/>
          <w:szCs w:val="21"/>
        </w:rPr>
      </w:pPr>
      <w:r>
        <w:rPr>
          <w:rFonts w:ascii="Times New Roman" w:hAnsi="Times New Roman" w:cs="Times New Roman" w:hint="eastAsia"/>
          <w:szCs w:val="21"/>
        </w:rPr>
        <w:t xml:space="preserve">Andersen, Camila (2009), Latvia Caught in Vicious Economic Downturn, IMF Survey Magazine: Countries &amp; Region, </w:t>
      </w:r>
      <w:r w:rsidRPr="00727103">
        <w:rPr>
          <w:rFonts w:ascii="Times New Roman" w:hAnsi="Times New Roman" w:cs="Times New Roman" w:hint="eastAsia"/>
          <w:szCs w:val="21"/>
        </w:rPr>
        <w:t>http://www.imf.org/external.pubs/ft/survey/so/2008/CAR080108B.htm</w:t>
      </w:r>
      <w:r>
        <w:rPr>
          <w:rFonts w:ascii="Times New Roman" w:hAnsi="Times New Roman" w:cs="Times New Roman" w:hint="eastAsia"/>
          <w:szCs w:val="21"/>
        </w:rPr>
        <w:t xml:space="preserve"> </w:t>
      </w:r>
      <w:r>
        <w:rPr>
          <w:rFonts w:ascii="Times New Roman" w:hAnsi="Times New Roman" w:cs="Times New Roman" w:hint="eastAsia"/>
          <w:szCs w:val="21"/>
        </w:rPr>
        <w:lastRenderedPageBreak/>
        <w:t>(Accessed on August 20, 2009).</w:t>
      </w:r>
    </w:p>
    <w:p w:rsidR="002302D5" w:rsidRDefault="002302D5" w:rsidP="0032738C">
      <w:pPr>
        <w:ind w:left="210" w:hangingChars="100" w:hanging="210"/>
        <w:rPr>
          <w:rFonts w:ascii="Times New Roman" w:hAnsi="Times New Roman" w:cs="Times New Roman"/>
          <w:szCs w:val="21"/>
        </w:rPr>
      </w:pPr>
      <w:proofErr w:type="spellStart"/>
      <w:r w:rsidRPr="002302D5">
        <w:rPr>
          <w:rFonts w:ascii="Times New Roman" w:hAnsi="Times New Roman" w:cs="Times New Roman"/>
          <w:szCs w:val="21"/>
        </w:rPr>
        <w:t>Astrov</w:t>
      </w:r>
      <w:proofErr w:type="spellEnd"/>
      <w:r w:rsidRPr="002302D5">
        <w:rPr>
          <w:rFonts w:ascii="Times New Roman" w:hAnsi="Times New Roman" w:cs="Times New Roman"/>
          <w:szCs w:val="21"/>
        </w:rPr>
        <w:t xml:space="preserve">, </w:t>
      </w:r>
      <w:proofErr w:type="spellStart"/>
      <w:r w:rsidRPr="002302D5">
        <w:rPr>
          <w:rFonts w:ascii="Times New Roman" w:hAnsi="Times New Roman" w:cs="Times New Roman"/>
          <w:szCs w:val="21"/>
        </w:rPr>
        <w:t>Vasily</w:t>
      </w:r>
      <w:proofErr w:type="spellEnd"/>
      <w:r w:rsidRPr="002302D5">
        <w:rPr>
          <w:rFonts w:ascii="Times New Roman" w:hAnsi="Times New Roman" w:cs="Times New Roman"/>
          <w:szCs w:val="21"/>
        </w:rPr>
        <w:t xml:space="preserve">, et al (2013), Double-dip Recession over, yet no Boom in Sight, </w:t>
      </w:r>
      <w:r w:rsidRPr="002302D5">
        <w:rPr>
          <w:rFonts w:ascii="Times New Roman" w:hAnsi="Times New Roman" w:cs="Times New Roman"/>
          <w:i/>
          <w:szCs w:val="21"/>
        </w:rPr>
        <w:t>Current Analyses and Forecasts</w:t>
      </w:r>
      <w:r w:rsidRPr="002302D5">
        <w:rPr>
          <w:rFonts w:ascii="Times New Roman" w:hAnsi="Times New Roman" w:cs="Times New Roman"/>
          <w:szCs w:val="21"/>
        </w:rPr>
        <w:t xml:space="preserve"> 11, Vienna: </w:t>
      </w:r>
      <w:proofErr w:type="spellStart"/>
      <w:r w:rsidRPr="002302D5">
        <w:rPr>
          <w:rFonts w:ascii="Times New Roman" w:hAnsi="Times New Roman" w:cs="Times New Roman"/>
          <w:szCs w:val="21"/>
        </w:rPr>
        <w:t>wiiw</w:t>
      </w:r>
      <w:proofErr w:type="spellEnd"/>
      <w:r w:rsidRPr="002302D5">
        <w:rPr>
          <w:rFonts w:ascii="Times New Roman" w:hAnsi="Times New Roman" w:cs="Times New Roman"/>
          <w:szCs w:val="21"/>
        </w:rPr>
        <w:t>.</w:t>
      </w:r>
    </w:p>
    <w:p w:rsidR="007E2086" w:rsidRDefault="007E2086" w:rsidP="0032738C">
      <w:pPr>
        <w:ind w:left="210" w:hangingChars="100" w:hanging="210"/>
        <w:rPr>
          <w:rFonts w:ascii="Times New Roman" w:hAnsi="Times New Roman" w:cs="Times New Roman"/>
          <w:szCs w:val="21"/>
        </w:rPr>
      </w:pPr>
      <w:proofErr w:type="spellStart"/>
      <w:r>
        <w:rPr>
          <w:rFonts w:ascii="Times New Roman" w:hAnsi="Times New Roman" w:cs="Times New Roman" w:hint="eastAsia"/>
          <w:szCs w:val="21"/>
        </w:rPr>
        <w:t>Banincova</w:t>
      </w:r>
      <w:proofErr w:type="spellEnd"/>
      <w:r>
        <w:rPr>
          <w:rFonts w:ascii="Times New Roman" w:hAnsi="Times New Roman" w:cs="Times New Roman" w:hint="eastAsia"/>
          <w:szCs w:val="21"/>
        </w:rPr>
        <w:t>, Eva (2010), Baltic Economies and Financial Crisis in the EU, EU Studies in Japan, 2010 (30): 178-198.</w:t>
      </w:r>
    </w:p>
    <w:p w:rsidR="00E94DC7" w:rsidRDefault="00E94DC7" w:rsidP="0032738C">
      <w:pPr>
        <w:ind w:left="210" w:hangingChars="100" w:hanging="210"/>
        <w:rPr>
          <w:rFonts w:ascii="Times New Roman" w:hAnsi="Times New Roman" w:cs="Times New Roman"/>
          <w:szCs w:val="21"/>
        </w:rPr>
      </w:pPr>
      <w:r>
        <w:rPr>
          <w:rFonts w:ascii="Times New Roman" w:hAnsi="Times New Roman" w:cs="Times New Roman" w:hint="eastAsia"/>
          <w:szCs w:val="21"/>
        </w:rPr>
        <w:t xml:space="preserve">Cusack, Thomas R., </w:t>
      </w:r>
      <w:proofErr w:type="spellStart"/>
      <w:r>
        <w:rPr>
          <w:rFonts w:ascii="Times New Roman" w:hAnsi="Times New Roman" w:cs="Times New Roman" w:hint="eastAsia"/>
          <w:szCs w:val="21"/>
        </w:rPr>
        <w:t>Torben</w:t>
      </w:r>
      <w:proofErr w:type="spellEnd"/>
      <w:r>
        <w:rPr>
          <w:rFonts w:ascii="Times New Roman" w:hAnsi="Times New Roman" w:cs="Times New Roman" w:hint="eastAsia"/>
          <w:szCs w:val="21"/>
        </w:rPr>
        <w:t xml:space="preserve"> </w:t>
      </w:r>
      <w:proofErr w:type="spellStart"/>
      <w:r>
        <w:rPr>
          <w:rFonts w:ascii="Times New Roman" w:hAnsi="Times New Roman" w:cs="Times New Roman" w:hint="eastAsia"/>
          <w:szCs w:val="21"/>
        </w:rPr>
        <w:t>Iversen</w:t>
      </w:r>
      <w:proofErr w:type="spellEnd"/>
      <w:r>
        <w:rPr>
          <w:rFonts w:ascii="Times New Roman" w:hAnsi="Times New Roman" w:cs="Times New Roman" w:hint="eastAsia"/>
          <w:szCs w:val="21"/>
        </w:rPr>
        <w:t xml:space="preserve"> and David Soskice (2007), Economic Interests and the Origins of Electoral Systems, </w:t>
      </w:r>
      <w:r w:rsidRPr="00E94DC7">
        <w:rPr>
          <w:rFonts w:ascii="Times New Roman" w:hAnsi="Times New Roman" w:cs="Times New Roman" w:hint="eastAsia"/>
          <w:szCs w:val="21"/>
        </w:rPr>
        <w:t>American Political Science Review</w:t>
      </w:r>
      <w:r>
        <w:rPr>
          <w:rFonts w:ascii="Times New Roman" w:hAnsi="Times New Roman" w:cs="Times New Roman" w:hint="eastAsia"/>
          <w:szCs w:val="21"/>
        </w:rPr>
        <w:t>, 101 (3): 373-391.</w:t>
      </w:r>
    </w:p>
    <w:p w:rsidR="002302D5" w:rsidRPr="002302D5" w:rsidRDefault="002302D5" w:rsidP="0032738C">
      <w:pPr>
        <w:ind w:left="210" w:hangingChars="100" w:hanging="210"/>
        <w:rPr>
          <w:rFonts w:ascii="Times New Roman" w:hAnsi="Times New Roman" w:cs="Times New Roman"/>
          <w:szCs w:val="21"/>
        </w:rPr>
      </w:pPr>
      <w:proofErr w:type="spellStart"/>
      <w:r w:rsidRPr="002302D5">
        <w:rPr>
          <w:rFonts w:ascii="Times New Roman" w:hAnsi="Times New Roman" w:cs="Times New Roman"/>
        </w:rPr>
        <w:t>Gligorov</w:t>
      </w:r>
      <w:proofErr w:type="spellEnd"/>
      <w:r w:rsidRPr="002302D5">
        <w:rPr>
          <w:rFonts w:ascii="Times New Roman" w:hAnsi="Times New Roman" w:cs="Times New Roman"/>
        </w:rPr>
        <w:t xml:space="preserve">, Vladimir, Josef </w:t>
      </w:r>
      <w:proofErr w:type="spellStart"/>
      <w:r w:rsidRPr="002302D5">
        <w:rPr>
          <w:rFonts w:ascii="Times New Roman" w:hAnsi="Times New Roman" w:cs="Times New Roman"/>
        </w:rPr>
        <w:t>Poeschl</w:t>
      </w:r>
      <w:proofErr w:type="spellEnd"/>
      <w:r w:rsidRPr="002302D5">
        <w:rPr>
          <w:rFonts w:ascii="Times New Roman" w:hAnsi="Times New Roman" w:cs="Times New Roman"/>
        </w:rPr>
        <w:t xml:space="preserve">, Sandor Richter, et al. (2009), </w:t>
      </w:r>
      <w:r w:rsidRPr="002302D5">
        <w:rPr>
          <w:rFonts w:ascii="Times New Roman" w:hAnsi="Times New Roman" w:cs="Times New Roman"/>
          <w:i/>
        </w:rPr>
        <w:t>Where Have All the Shooting Stars Gone?, Current Analyses and Forecasts 4</w:t>
      </w:r>
      <w:r w:rsidRPr="002302D5">
        <w:rPr>
          <w:rFonts w:ascii="Times New Roman" w:hAnsi="Times New Roman" w:cs="Times New Roman"/>
        </w:rPr>
        <w:t xml:space="preserve">, July 2009, Vienna: </w:t>
      </w:r>
      <w:proofErr w:type="spellStart"/>
      <w:r w:rsidRPr="002302D5">
        <w:rPr>
          <w:rFonts w:ascii="Times New Roman" w:hAnsi="Times New Roman" w:cs="Times New Roman"/>
        </w:rPr>
        <w:t>wiiw</w:t>
      </w:r>
      <w:proofErr w:type="spellEnd"/>
      <w:r w:rsidRPr="002302D5">
        <w:rPr>
          <w:rFonts w:ascii="Times New Roman" w:hAnsi="Times New Roman" w:cs="Times New Roman"/>
        </w:rPr>
        <w:t xml:space="preserve"> (The Vienna Institute for International Economic Studies).</w:t>
      </w:r>
    </w:p>
    <w:p w:rsidR="00FD3B95" w:rsidRPr="003D2124" w:rsidRDefault="00057BC5" w:rsidP="0032738C">
      <w:pPr>
        <w:ind w:left="210" w:hangingChars="100" w:hanging="210"/>
        <w:rPr>
          <w:rFonts w:ascii="Times New Roman" w:hAnsi="Times New Roman" w:cs="Times New Roman"/>
          <w:szCs w:val="21"/>
        </w:rPr>
      </w:pPr>
      <w:r w:rsidRPr="003D2124">
        <w:rPr>
          <w:rFonts w:ascii="Times New Roman" w:hAnsi="Times New Roman" w:cs="Times New Roman"/>
          <w:szCs w:val="21"/>
        </w:rPr>
        <w:t xml:space="preserve">Hansson, </w:t>
      </w:r>
      <w:proofErr w:type="spellStart"/>
      <w:r w:rsidRPr="003D2124">
        <w:rPr>
          <w:rFonts w:ascii="Times New Roman" w:hAnsi="Times New Roman" w:cs="Times New Roman"/>
          <w:szCs w:val="21"/>
        </w:rPr>
        <w:t>Ardo</w:t>
      </w:r>
      <w:proofErr w:type="spellEnd"/>
      <w:r w:rsidRPr="003D2124">
        <w:rPr>
          <w:rFonts w:ascii="Times New Roman" w:hAnsi="Times New Roman" w:cs="Times New Roman"/>
          <w:szCs w:val="21"/>
        </w:rPr>
        <w:t xml:space="preserve"> and </w:t>
      </w:r>
      <w:proofErr w:type="spellStart"/>
      <w:r w:rsidRPr="003D2124">
        <w:rPr>
          <w:rFonts w:ascii="Times New Roman" w:hAnsi="Times New Roman" w:cs="Times New Roman"/>
          <w:szCs w:val="21"/>
        </w:rPr>
        <w:t>Martti</w:t>
      </w:r>
      <w:proofErr w:type="spellEnd"/>
      <w:r w:rsidRPr="003D2124">
        <w:rPr>
          <w:rFonts w:ascii="Times New Roman" w:hAnsi="Times New Roman" w:cs="Times New Roman"/>
          <w:szCs w:val="21"/>
        </w:rPr>
        <w:t xml:space="preserve"> </w:t>
      </w:r>
      <w:proofErr w:type="spellStart"/>
      <w:r w:rsidRPr="003D2124">
        <w:rPr>
          <w:rFonts w:ascii="Times New Roman" w:hAnsi="Times New Roman" w:cs="Times New Roman"/>
          <w:szCs w:val="21"/>
        </w:rPr>
        <w:t>Randeveer</w:t>
      </w:r>
      <w:proofErr w:type="spellEnd"/>
      <w:r w:rsidRPr="003D2124">
        <w:rPr>
          <w:rFonts w:ascii="Times New Roman" w:hAnsi="Times New Roman" w:cs="Times New Roman"/>
          <w:szCs w:val="21"/>
        </w:rPr>
        <w:t xml:space="preserve"> (2013), Economic Adjustment in the Baltic Countries, </w:t>
      </w:r>
      <w:proofErr w:type="spellStart"/>
      <w:r w:rsidRPr="003D2124">
        <w:rPr>
          <w:rFonts w:ascii="Times New Roman" w:hAnsi="Times New Roman" w:cs="Times New Roman"/>
          <w:szCs w:val="21"/>
        </w:rPr>
        <w:t>Eesti</w:t>
      </w:r>
      <w:proofErr w:type="spellEnd"/>
      <w:r w:rsidRPr="003D2124">
        <w:rPr>
          <w:rFonts w:ascii="Times New Roman" w:hAnsi="Times New Roman" w:cs="Times New Roman"/>
          <w:szCs w:val="21"/>
        </w:rPr>
        <w:t xml:space="preserve"> </w:t>
      </w:r>
      <w:proofErr w:type="spellStart"/>
      <w:r w:rsidRPr="003D2124">
        <w:rPr>
          <w:rFonts w:ascii="Times New Roman" w:hAnsi="Times New Roman" w:cs="Times New Roman"/>
          <w:szCs w:val="21"/>
        </w:rPr>
        <w:t>Pank</w:t>
      </w:r>
      <w:proofErr w:type="spellEnd"/>
      <w:r w:rsidRPr="003D2124">
        <w:rPr>
          <w:rFonts w:ascii="Times New Roman" w:hAnsi="Times New Roman" w:cs="Times New Roman"/>
          <w:szCs w:val="21"/>
        </w:rPr>
        <w:t xml:space="preserve">, </w:t>
      </w:r>
      <w:r w:rsidRPr="003D2124">
        <w:rPr>
          <w:rFonts w:ascii="Times New Roman" w:hAnsi="Times New Roman" w:cs="Times New Roman"/>
          <w:i/>
          <w:szCs w:val="21"/>
        </w:rPr>
        <w:t>Working Paper Series</w:t>
      </w:r>
      <w:r w:rsidRPr="003D2124">
        <w:rPr>
          <w:rFonts w:ascii="Times New Roman" w:hAnsi="Times New Roman" w:cs="Times New Roman"/>
          <w:szCs w:val="21"/>
        </w:rPr>
        <w:t>, 1/2013.</w:t>
      </w:r>
    </w:p>
    <w:p w:rsidR="003D2124" w:rsidRPr="003D2124" w:rsidRDefault="003D2124" w:rsidP="003D2124">
      <w:pPr>
        <w:ind w:left="210" w:hangingChars="100" w:hanging="210"/>
        <w:rPr>
          <w:rFonts w:ascii="Times New Roman" w:hAnsi="Times New Roman" w:cs="Times New Roman"/>
          <w:szCs w:val="21"/>
        </w:rPr>
      </w:pPr>
      <w:r w:rsidRPr="003D2124">
        <w:rPr>
          <w:rFonts w:ascii="Times New Roman" w:hAnsi="Times New Roman" w:cs="Times New Roman"/>
          <w:szCs w:val="21"/>
        </w:rPr>
        <w:t>IMF (2006a), Republic of Latvia: 2006 Article IV Consultation – Staff Report; Public Information Notice on the Executive Board Discussion; and Statement by the Executive Director for the Republic of Latvia. http://www.org/external/pubs/cat/longres.cfm?sk=19983.0 [accessed on August 20, 2009]</w:t>
      </w:r>
    </w:p>
    <w:p w:rsidR="003D2124" w:rsidRPr="003D2124" w:rsidRDefault="003D2124" w:rsidP="003D2124">
      <w:pPr>
        <w:ind w:left="210" w:hangingChars="100" w:hanging="210"/>
        <w:rPr>
          <w:rFonts w:ascii="Times New Roman" w:hAnsi="Times New Roman" w:cs="Times New Roman"/>
          <w:szCs w:val="21"/>
        </w:rPr>
      </w:pPr>
      <w:r w:rsidRPr="003D2124">
        <w:rPr>
          <w:rFonts w:ascii="Times New Roman" w:hAnsi="Times New Roman" w:cs="Times New Roman"/>
          <w:szCs w:val="21"/>
        </w:rPr>
        <w:t xml:space="preserve">IMF (2006b), IMF Executive Board Concludes 2006 Article IV Consultation with the Republic of Latvia, Public Information Notice, No.113. </w:t>
      </w:r>
    </w:p>
    <w:p w:rsidR="003D2124" w:rsidRPr="003D2124" w:rsidRDefault="003D2124" w:rsidP="003D2124">
      <w:pPr>
        <w:ind w:leftChars="100" w:left="210"/>
        <w:rPr>
          <w:rFonts w:ascii="Times New Roman" w:hAnsi="Times New Roman" w:cs="Times New Roman"/>
          <w:szCs w:val="21"/>
        </w:rPr>
      </w:pPr>
      <w:r w:rsidRPr="003D2124">
        <w:rPr>
          <w:rFonts w:ascii="Times New Roman" w:hAnsi="Times New Roman" w:cs="Times New Roman"/>
          <w:szCs w:val="21"/>
        </w:rPr>
        <w:t>http://www.imf.org/external/np/sec/pn/2006/pn06113.htm [accessed on August 20, 2009]</w:t>
      </w:r>
    </w:p>
    <w:p w:rsidR="003D2124" w:rsidRPr="003D2124" w:rsidRDefault="003D2124" w:rsidP="003D2124">
      <w:pPr>
        <w:rPr>
          <w:rFonts w:ascii="Times New Roman" w:hAnsi="Times New Roman" w:cs="Times New Roman"/>
          <w:szCs w:val="21"/>
        </w:rPr>
      </w:pPr>
      <w:r w:rsidRPr="003D2124">
        <w:rPr>
          <w:rFonts w:ascii="Times New Roman" w:hAnsi="Times New Roman" w:cs="Times New Roman"/>
          <w:szCs w:val="21"/>
        </w:rPr>
        <w:t>IMF (2006c), Republic of Latvia: Selected Issues, IMF Country Reports No.06/354.</w:t>
      </w:r>
    </w:p>
    <w:p w:rsidR="003D2124" w:rsidRPr="003D2124" w:rsidRDefault="003D2124" w:rsidP="003D2124">
      <w:pPr>
        <w:rPr>
          <w:rFonts w:ascii="Times New Roman" w:hAnsi="Times New Roman" w:cs="Times New Roman"/>
          <w:szCs w:val="21"/>
        </w:rPr>
      </w:pPr>
      <w:r w:rsidRPr="003D2124">
        <w:rPr>
          <w:rFonts w:ascii="Times New Roman" w:hAnsi="Times New Roman" w:cs="Times New Roman"/>
          <w:szCs w:val="21"/>
        </w:rPr>
        <w:t xml:space="preserve">  https://www.imf.org/external/pubs/cat/longres.cfm?sk=19984.0 [accessed on August 20, 2009]</w:t>
      </w:r>
    </w:p>
    <w:p w:rsidR="00057BC5" w:rsidRPr="003D2124" w:rsidRDefault="003D2124" w:rsidP="00E94DC7">
      <w:pPr>
        <w:ind w:left="210" w:hangingChars="100" w:hanging="210"/>
        <w:rPr>
          <w:rFonts w:ascii="Times New Roman" w:hAnsi="Times New Roman" w:cs="Times New Roman"/>
        </w:rPr>
      </w:pPr>
      <w:r w:rsidRPr="003D2124">
        <w:rPr>
          <w:rFonts w:ascii="Times New Roman" w:hAnsi="Times New Roman" w:cs="Times New Roman"/>
          <w:szCs w:val="21"/>
        </w:rPr>
        <w:t>IMF (2007), Statement by IMF Mission to Latvia on 2007 Article IV Consultation Discussion, Press Release No.07/87. http://www.imf.org/external/nep/sec/pr/2007/pr0787.htm [accessed on August 20, 2009]</w:t>
      </w:r>
    </w:p>
    <w:p w:rsidR="003D2124" w:rsidRPr="003D2124" w:rsidRDefault="003D2124" w:rsidP="003D2124">
      <w:pPr>
        <w:ind w:left="210" w:hangingChars="100" w:hanging="210"/>
        <w:rPr>
          <w:rFonts w:ascii="Times New Roman" w:hAnsi="Times New Roman" w:cs="Times New Roman"/>
          <w:szCs w:val="21"/>
        </w:rPr>
      </w:pPr>
      <w:r w:rsidRPr="003D2124">
        <w:rPr>
          <w:rFonts w:ascii="Times New Roman" w:hAnsi="Times New Roman" w:cs="Times New Roman"/>
          <w:szCs w:val="21"/>
        </w:rPr>
        <w:t xml:space="preserve">IMF (2009b), Latvia Caught in Vicious Economic Downturn, </w:t>
      </w:r>
      <w:r w:rsidRPr="003D2124">
        <w:rPr>
          <w:rFonts w:ascii="Times New Roman" w:hAnsi="Times New Roman" w:cs="Times New Roman"/>
          <w:i/>
          <w:szCs w:val="21"/>
        </w:rPr>
        <w:t>IMF Survey Magazine: Countries &amp; Region, May 28, 2009</w:t>
      </w:r>
      <w:r w:rsidRPr="003D2124">
        <w:rPr>
          <w:rFonts w:ascii="Times New Roman" w:hAnsi="Times New Roman" w:cs="Times New Roman"/>
          <w:szCs w:val="21"/>
        </w:rPr>
        <w:t xml:space="preserve">. http://www.imf.org/external/pubs/ft/survey/so/2009/CAR052809A.htm  </w:t>
      </w:r>
    </w:p>
    <w:p w:rsidR="00057BC5" w:rsidRDefault="003D2124" w:rsidP="00FC012F">
      <w:pPr>
        <w:ind w:left="210" w:hangingChars="100" w:hanging="210"/>
        <w:rPr>
          <w:rFonts w:ascii="Times New Roman" w:hAnsi="Times New Roman" w:cs="Times New Roman"/>
          <w:szCs w:val="21"/>
        </w:rPr>
      </w:pPr>
      <w:r w:rsidRPr="003D2124">
        <w:rPr>
          <w:rFonts w:ascii="Times New Roman" w:hAnsi="Times New Roman" w:cs="Times New Roman"/>
          <w:szCs w:val="21"/>
        </w:rPr>
        <w:t xml:space="preserve">IMF (2009c), Transcript of Conference Call on Staff-Level Agreement on First Review of Latvia’s Stand-By Agreement, July 27, 2009. http://www.imf.org/external/np/tr/2009/tr072709a.htm  </w:t>
      </w:r>
    </w:p>
    <w:p w:rsidR="0032738C" w:rsidRPr="0032738C" w:rsidRDefault="0032738C" w:rsidP="0032738C">
      <w:pPr>
        <w:ind w:left="210" w:hangingChars="100" w:hanging="210"/>
        <w:rPr>
          <w:rFonts w:ascii="Times New Roman" w:hAnsi="Times New Roman" w:cs="Times New Roman"/>
        </w:rPr>
      </w:pPr>
      <w:r w:rsidRPr="0032738C">
        <w:rPr>
          <w:rFonts w:ascii="Times New Roman" w:hAnsi="Times New Roman" w:cs="Times New Roman"/>
        </w:rPr>
        <w:t>IMF (2010),</w:t>
      </w:r>
      <w:r w:rsidRPr="0032738C">
        <w:rPr>
          <w:rFonts w:ascii="Times New Roman" w:hAnsi="Times New Roman" w:cs="Times New Roman"/>
        </w:rPr>
        <w:t xml:space="preserve">　</w:t>
      </w:r>
      <w:r w:rsidRPr="0032738C">
        <w:rPr>
          <w:rFonts w:ascii="Times New Roman" w:hAnsi="Times New Roman" w:cs="Times New Roman"/>
        </w:rPr>
        <w:t>Republic of Croatia: 2010 Article IV Consultation – Staff Report; Public Information Notice on the Executive Board Discussion; and Statement by the Executive Director for the Republic of Croatia, June 2010, IMF Country Report No. 10/179.</w:t>
      </w:r>
    </w:p>
    <w:p w:rsidR="0032738C" w:rsidRPr="0032738C" w:rsidRDefault="0032738C" w:rsidP="0032738C">
      <w:pPr>
        <w:ind w:left="210" w:hangingChars="100" w:hanging="210"/>
        <w:rPr>
          <w:rFonts w:ascii="Times New Roman" w:hAnsi="Times New Roman" w:cs="Times New Roman"/>
        </w:rPr>
      </w:pPr>
      <w:r w:rsidRPr="0032738C">
        <w:rPr>
          <w:rFonts w:ascii="Times New Roman" w:hAnsi="Times New Roman" w:cs="Times New Roman"/>
        </w:rPr>
        <w:t xml:space="preserve">IMF (2011a), Republic of Slovenia: 2011 Article IV Consultation – Staff Report; Public Information Notice on the Executive Board Discussion; Staff Statement; and Statement by the Executive </w:t>
      </w:r>
      <w:r w:rsidRPr="0032738C">
        <w:rPr>
          <w:rFonts w:ascii="Times New Roman" w:hAnsi="Times New Roman" w:cs="Times New Roman"/>
        </w:rPr>
        <w:lastRenderedPageBreak/>
        <w:t xml:space="preserve">Director for Slovenia, IMF Country Report N. 11/121. </w:t>
      </w:r>
    </w:p>
    <w:p w:rsidR="0032738C" w:rsidRPr="0032738C" w:rsidRDefault="0032738C" w:rsidP="0032738C">
      <w:pPr>
        <w:ind w:left="210" w:hangingChars="100" w:hanging="210"/>
        <w:rPr>
          <w:rFonts w:ascii="Times New Roman" w:hAnsi="Times New Roman" w:cs="Times New Roman"/>
        </w:rPr>
      </w:pPr>
      <w:r w:rsidRPr="0032738C">
        <w:rPr>
          <w:rFonts w:ascii="Times New Roman" w:hAnsi="Times New Roman" w:cs="Times New Roman"/>
        </w:rPr>
        <w:t xml:space="preserve">  http://www.inf.org/external/pubs/cat/longres.aspx?sk=24885.0</w:t>
      </w:r>
      <w:r w:rsidRPr="0032738C">
        <w:rPr>
          <w:rFonts w:ascii="Times New Roman" w:hAnsi="Times New Roman" w:cs="Times New Roman"/>
        </w:rPr>
        <w:t>（</w:t>
      </w:r>
      <w:r w:rsidRPr="0032738C">
        <w:rPr>
          <w:rFonts w:ascii="Times New Roman" w:hAnsi="Times New Roman" w:cs="Times New Roman"/>
        </w:rPr>
        <w:t>accessed on July 11, 2012</w:t>
      </w:r>
      <w:r w:rsidRPr="0032738C">
        <w:rPr>
          <w:rFonts w:ascii="Times New Roman" w:hAnsi="Times New Roman" w:cs="Times New Roman"/>
        </w:rPr>
        <w:t>）</w:t>
      </w:r>
    </w:p>
    <w:p w:rsidR="0032738C" w:rsidRPr="0032738C" w:rsidRDefault="0032738C" w:rsidP="0032738C">
      <w:pPr>
        <w:ind w:left="210" w:hangingChars="100" w:hanging="210"/>
        <w:rPr>
          <w:rFonts w:ascii="Times New Roman" w:hAnsi="Times New Roman" w:cs="Times New Roman"/>
          <w:szCs w:val="21"/>
        </w:rPr>
      </w:pPr>
      <w:r w:rsidRPr="0032738C">
        <w:rPr>
          <w:rFonts w:ascii="Times New Roman" w:hAnsi="Times New Roman" w:cs="Times New Roman"/>
          <w:szCs w:val="21"/>
        </w:rPr>
        <w:t>IMF (2011b), Republic of Serbia: Request for Stand-By Arrangement, IMF Country Report No. 11/311.</w:t>
      </w:r>
    </w:p>
    <w:p w:rsidR="0032738C" w:rsidRPr="0032738C" w:rsidRDefault="0032738C" w:rsidP="0032738C">
      <w:pPr>
        <w:ind w:left="210" w:hangingChars="100" w:hanging="210"/>
        <w:rPr>
          <w:rFonts w:ascii="Times New Roman" w:hAnsi="Times New Roman" w:cs="Times New Roman"/>
        </w:rPr>
      </w:pPr>
      <w:r w:rsidRPr="0032738C">
        <w:rPr>
          <w:rFonts w:ascii="Times New Roman" w:hAnsi="Times New Roman" w:cs="Times New Roman"/>
        </w:rPr>
        <w:t>IMF(2012a), Republic of Slovenia: 2012 Article IV Consultation – Staff Report; Informational Annex; Public Information Notice on the Executive Board Discussion; and Statement by the Executive Director for the Republic of Slovenia, Country Report No.12/319.</w:t>
      </w:r>
    </w:p>
    <w:p w:rsidR="0032738C" w:rsidRPr="0032738C" w:rsidRDefault="0032738C" w:rsidP="0032738C">
      <w:pPr>
        <w:ind w:left="210" w:hangingChars="100" w:hanging="210"/>
        <w:rPr>
          <w:rFonts w:ascii="Times New Roman" w:hAnsi="Times New Roman" w:cs="Times New Roman"/>
        </w:rPr>
      </w:pPr>
      <w:r w:rsidRPr="0032738C">
        <w:rPr>
          <w:rFonts w:ascii="Times New Roman" w:hAnsi="Times New Roman" w:cs="Times New Roman"/>
        </w:rPr>
        <w:t>IMF (2012b), Republic of Slovenia: Financial System Stability Assessment.</w:t>
      </w:r>
    </w:p>
    <w:p w:rsidR="0032738C" w:rsidRDefault="0032738C" w:rsidP="0032738C">
      <w:pPr>
        <w:ind w:left="210" w:hangingChars="100" w:hanging="210"/>
        <w:rPr>
          <w:rFonts w:ascii="Times New Roman" w:hAnsi="Times New Roman" w:cs="Times New Roman"/>
        </w:rPr>
      </w:pPr>
      <w:r w:rsidRPr="0032738C">
        <w:rPr>
          <w:rFonts w:ascii="Times New Roman" w:hAnsi="Times New Roman" w:cs="Times New Roman"/>
        </w:rPr>
        <w:t>IMF (2013), Slovenia 2013 Staff Visit – Concluding Statement of the Mission.</w:t>
      </w:r>
    </w:p>
    <w:p w:rsidR="00E94DC7" w:rsidRDefault="00E94DC7" w:rsidP="0032738C">
      <w:pPr>
        <w:ind w:left="210" w:hangingChars="100" w:hanging="210"/>
        <w:rPr>
          <w:rFonts w:ascii="Times New Roman" w:hAnsi="Times New Roman" w:cs="Times New Roman"/>
        </w:rPr>
      </w:pPr>
      <w:proofErr w:type="spellStart"/>
      <w:r>
        <w:rPr>
          <w:rFonts w:ascii="Times New Roman" w:hAnsi="Times New Roman" w:cs="Times New Roman" w:hint="eastAsia"/>
        </w:rPr>
        <w:t>Iversen</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Torben</w:t>
      </w:r>
      <w:proofErr w:type="spellEnd"/>
      <w:r>
        <w:rPr>
          <w:rFonts w:ascii="Times New Roman" w:hAnsi="Times New Roman" w:cs="Times New Roman" w:hint="eastAsia"/>
        </w:rPr>
        <w:t xml:space="preserve"> and John D. Stephens (2008), Partisan Politics, the Welfare State, and Three Worlds of Human Capital Formation, </w:t>
      </w:r>
      <w:r w:rsidRPr="00E94DC7">
        <w:rPr>
          <w:rFonts w:ascii="Times New Roman" w:hAnsi="Times New Roman" w:cs="Times New Roman" w:hint="eastAsia"/>
          <w:i/>
        </w:rPr>
        <w:t>Comparative Political Studies</w:t>
      </w:r>
      <w:r>
        <w:rPr>
          <w:rFonts w:ascii="Times New Roman" w:hAnsi="Times New Roman" w:cs="Times New Roman" w:hint="eastAsia"/>
        </w:rPr>
        <w:t>, 41(4-5): 600-637.</w:t>
      </w:r>
    </w:p>
    <w:p w:rsidR="00FC012F" w:rsidRDefault="00FC012F" w:rsidP="0032738C">
      <w:pPr>
        <w:ind w:left="210" w:hangingChars="100" w:hanging="210"/>
        <w:rPr>
          <w:rFonts w:ascii="Times New Roman" w:hAnsi="Times New Roman" w:cs="Times New Roman"/>
        </w:rPr>
      </w:pPr>
      <w:r>
        <w:rPr>
          <w:rFonts w:ascii="Times New Roman" w:hAnsi="Times New Roman" w:cs="Times New Roman" w:hint="eastAsia"/>
        </w:rPr>
        <w:t xml:space="preserve">Koyama, </w:t>
      </w:r>
      <w:proofErr w:type="spellStart"/>
      <w:r>
        <w:rPr>
          <w:rFonts w:ascii="Times New Roman" w:hAnsi="Times New Roman" w:cs="Times New Roman" w:hint="eastAsia"/>
        </w:rPr>
        <w:t>Yoji</w:t>
      </w:r>
      <w:proofErr w:type="spellEnd"/>
      <w:r w:rsidR="00592DBA">
        <w:rPr>
          <w:rFonts w:ascii="Times New Roman" w:hAnsi="Times New Roman" w:cs="Times New Roman" w:hint="eastAsia"/>
        </w:rPr>
        <w:t xml:space="preserve"> (2015)</w:t>
      </w:r>
      <w:r>
        <w:rPr>
          <w:rFonts w:ascii="Times New Roman" w:hAnsi="Times New Roman" w:cs="Times New Roman" w:hint="eastAsia"/>
        </w:rPr>
        <w:t xml:space="preserve">, </w:t>
      </w:r>
      <w:r w:rsidRPr="00FC012F">
        <w:rPr>
          <w:rFonts w:ascii="Times New Roman" w:hAnsi="Times New Roman" w:cs="Times New Roman" w:hint="eastAsia"/>
          <w:i/>
        </w:rPr>
        <w:t>The EU</w:t>
      </w:r>
      <w:r w:rsidRPr="00FC012F">
        <w:rPr>
          <w:rFonts w:ascii="Times New Roman" w:hAnsi="Times New Roman" w:cs="Times New Roman"/>
          <w:i/>
        </w:rPr>
        <w:t>’</w:t>
      </w:r>
      <w:r w:rsidRPr="00FC012F">
        <w:rPr>
          <w:rFonts w:ascii="Times New Roman" w:hAnsi="Times New Roman" w:cs="Times New Roman" w:hint="eastAsia"/>
          <w:i/>
        </w:rPr>
        <w:t>s Eastward Enlargement: Central and Eastern Europe</w:t>
      </w:r>
      <w:r w:rsidRPr="00FC012F">
        <w:rPr>
          <w:rFonts w:ascii="Times New Roman" w:hAnsi="Times New Roman" w:cs="Times New Roman"/>
          <w:i/>
        </w:rPr>
        <w:t>’</w:t>
      </w:r>
      <w:r w:rsidRPr="00FC012F">
        <w:rPr>
          <w:rFonts w:ascii="Times New Roman" w:hAnsi="Times New Roman" w:cs="Times New Roman" w:hint="eastAsia"/>
          <w:i/>
        </w:rPr>
        <w:t>s Strategies for Development</w:t>
      </w:r>
      <w:r>
        <w:rPr>
          <w:rFonts w:ascii="Times New Roman" w:hAnsi="Times New Roman" w:cs="Times New Roman" w:hint="eastAsia"/>
        </w:rPr>
        <w:t>, Singapore: World Scientific.</w:t>
      </w:r>
    </w:p>
    <w:p w:rsidR="002302D5" w:rsidRPr="002302D5" w:rsidRDefault="002302D5" w:rsidP="0032738C">
      <w:pPr>
        <w:ind w:left="210" w:hangingChars="100" w:hanging="210"/>
        <w:rPr>
          <w:rFonts w:ascii="Times New Roman" w:hAnsi="Times New Roman" w:cs="Times New Roman"/>
        </w:rPr>
      </w:pPr>
      <w:proofErr w:type="spellStart"/>
      <w:r w:rsidRPr="002302D5">
        <w:rPr>
          <w:rFonts w:ascii="Times New Roman" w:hAnsi="Times New Roman" w:cs="Times New Roman"/>
          <w:szCs w:val="21"/>
        </w:rPr>
        <w:t>Leitner</w:t>
      </w:r>
      <w:proofErr w:type="spellEnd"/>
      <w:r w:rsidRPr="002302D5">
        <w:rPr>
          <w:rFonts w:ascii="Times New Roman" w:hAnsi="Times New Roman" w:cs="Times New Roman"/>
          <w:szCs w:val="21"/>
        </w:rPr>
        <w:t xml:space="preserve">, Sebastian (2009), Baltic States: squashed hopes in the realm of depression, in </w:t>
      </w:r>
      <w:proofErr w:type="spellStart"/>
      <w:r w:rsidRPr="002302D5">
        <w:rPr>
          <w:rFonts w:ascii="Times New Roman" w:hAnsi="Times New Roman" w:cs="Times New Roman"/>
          <w:szCs w:val="21"/>
        </w:rPr>
        <w:t>Gligorov</w:t>
      </w:r>
      <w:proofErr w:type="spellEnd"/>
      <w:r w:rsidRPr="002302D5">
        <w:rPr>
          <w:rFonts w:ascii="Times New Roman" w:hAnsi="Times New Roman" w:cs="Times New Roman"/>
          <w:szCs w:val="21"/>
        </w:rPr>
        <w:t>, et al (2009).</w:t>
      </w:r>
    </w:p>
    <w:p w:rsidR="00FE7F4D" w:rsidRPr="00FE7F4D" w:rsidRDefault="00FE7F4D" w:rsidP="00FE7F4D">
      <w:pPr>
        <w:rPr>
          <w:rFonts w:ascii="Times New Roman" w:hAnsi="Times New Roman" w:cs="Times New Roman"/>
        </w:rPr>
      </w:pPr>
      <w:r w:rsidRPr="00FE7F4D">
        <w:rPr>
          <w:rFonts w:ascii="Times New Roman" w:hAnsi="Times New Roman" w:cs="Times New Roman"/>
        </w:rPr>
        <w:t xml:space="preserve">OECD (2013), </w:t>
      </w:r>
      <w:r w:rsidRPr="00FE7F4D">
        <w:rPr>
          <w:rFonts w:ascii="Times New Roman" w:hAnsi="Times New Roman" w:cs="Times New Roman"/>
          <w:i/>
        </w:rPr>
        <w:t>OECD Economic Survey: Slovenia 2013</w:t>
      </w:r>
      <w:r w:rsidRPr="00FE7F4D">
        <w:rPr>
          <w:rFonts w:ascii="Times New Roman" w:hAnsi="Times New Roman" w:cs="Times New Roman"/>
        </w:rPr>
        <w:t xml:space="preserve">, OECD Publishing. </w:t>
      </w:r>
    </w:p>
    <w:p w:rsidR="00FE7F4D" w:rsidRPr="00FE7F4D" w:rsidRDefault="00FE7F4D" w:rsidP="00FE7F4D">
      <w:pPr>
        <w:ind w:leftChars="100" w:left="210"/>
        <w:rPr>
          <w:rFonts w:ascii="Times New Roman" w:hAnsi="Times New Roman" w:cs="Times New Roman"/>
        </w:rPr>
      </w:pPr>
      <w:r w:rsidRPr="00FE7F4D">
        <w:rPr>
          <w:rFonts w:ascii="Times New Roman" w:hAnsi="Times New Roman" w:cs="Times New Roman"/>
        </w:rPr>
        <w:t>http://dx.doi.org/10.1787/eco_survey-sun-2013-en</w:t>
      </w:r>
    </w:p>
    <w:p w:rsidR="003D2124" w:rsidRPr="003D2124" w:rsidRDefault="003D2124" w:rsidP="003D2124">
      <w:pPr>
        <w:ind w:left="210" w:hangingChars="100" w:hanging="210"/>
        <w:rPr>
          <w:rFonts w:ascii="Times New Roman" w:hAnsi="Times New Roman" w:cs="Times New Roman"/>
        </w:rPr>
      </w:pPr>
      <w:proofErr w:type="spellStart"/>
      <w:r w:rsidRPr="003D2124">
        <w:rPr>
          <w:rFonts w:ascii="Times New Roman" w:hAnsi="Times New Roman" w:cs="Times New Roman"/>
        </w:rPr>
        <w:t>Mencinger</w:t>
      </w:r>
      <w:proofErr w:type="spellEnd"/>
      <w:r w:rsidRPr="003D2124">
        <w:rPr>
          <w:rFonts w:ascii="Times New Roman" w:hAnsi="Times New Roman" w:cs="Times New Roman"/>
        </w:rPr>
        <w:t xml:space="preserve">, </w:t>
      </w:r>
      <w:proofErr w:type="spellStart"/>
      <w:r w:rsidRPr="003D2124">
        <w:rPr>
          <w:rFonts w:ascii="Times New Roman" w:hAnsi="Times New Roman" w:cs="Times New Roman"/>
        </w:rPr>
        <w:t>Joze</w:t>
      </w:r>
      <w:proofErr w:type="spellEnd"/>
      <w:r w:rsidRPr="003D2124">
        <w:rPr>
          <w:rFonts w:ascii="Times New Roman" w:hAnsi="Times New Roman" w:cs="Times New Roman"/>
        </w:rPr>
        <w:t xml:space="preserve"> (2003), Does Foreign Direct Investment Always Enhance Economic Growth?, </w:t>
      </w:r>
      <w:proofErr w:type="spellStart"/>
      <w:r w:rsidRPr="003D2124">
        <w:rPr>
          <w:rFonts w:ascii="Times New Roman" w:hAnsi="Times New Roman" w:cs="Times New Roman"/>
          <w:i/>
        </w:rPr>
        <w:t>Kyklos</w:t>
      </w:r>
      <w:proofErr w:type="spellEnd"/>
      <w:r w:rsidRPr="003D2124">
        <w:rPr>
          <w:rFonts w:ascii="Times New Roman" w:hAnsi="Times New Roman" w:cs="Times New Roman"/>
        </w:rPr>
        <w:t>, Vol. 56.</w:t>
      </w:r>
    </w:p>
    <w:p w:rsidR="003D2124" w:rsidRPr="003D2124" w:rsidRDefault="003D2124" w:rsidP="003D2124">
      <w:pPr>
        <w:ind w:left="284" w:hanging="284"/>
        <w:rPr>
          <w:rFonts w:ascii="Times New Roman" w:hAnsi="Times New Roman" w:cs="Times New Roman"/>
        </w:rPr>
      </w:pPr>
      <w:proofErr w:type="spellStart"/>
      <w:r w:rsidRPr="003D2124">
        <w:rPr>
          <w:rFonts w:ascii="Times New Roman" w:hAnsi="Times New Roman" w:cs="Times New Roman"/>
        </w:rPr>
        <w:t>Mencinger</w:t>
      </w:r>
      <w:proofErr w:type="spellEnd"/>
      <w:r w:rsidRPr="003D2124">
        <w:rPr>
          <w:rFonts w:ascii="Times New Roman" w:hAnsi="Times New Roman" w:cs="Times New Roman"/>
        </w:rPr>
        <w:t xml:space="preserve">, </w:t>
      </w:r>
      <w:proofErr w:type="spellStart"/>
      <w:r w:rsidRPr="003D2124">
        <w:rPr>
          <w:rFonts w:ascii="Times New Roman" w:hAnsi="Times New Roman" w:cs="Times New Roman"/>
        </w:rPr>
        <w:t>Joze</w:t>
      </w:r>
      <w:proofErr w:type="spellEnd"/>
      <w:r w:rsidRPr="003D2124">
        <w:rPr>
          <w:rFonts w:ascii="Times New Roman" w:hAnsi="Times New Roman" w:cs="Times New Roman"/>
        </w:rPr>
        <w:t xml:space="preserve"> (2004), Transition to a National and a Market Economy: A Gradual Approach, in </w:t>
      </w:r>
      <w:proofErr w:type="spellStart"/>
      <w:r w:rsidRPr="003D2124">
        <w:rPr>
          <w:rFonts w:ascii="Times New Roman" w:hAnsi="Times New Roman" w:cs="Times New Roman"/>
        </w:rPr>
        <w:t>Mrak</w:t>
      </w:r>
      <w:proofErr w:type="spellEnd"/>
      <w:r w:rsidRPr="003D2124">
        <w:rPr>
          <w:rFonts w:ascii="Times New Roman" w:hAnsi="Times New Roman" w:cs="Times New Roman"/>
        </w:rPr>
        <w:t xml:space="preserve">, </w:t>
      </w:r>
      <w:proofErr w:type="spellStart"/>
      <w:r w:rsidRPr="003D2124">
        <w:rPr>
          <w:rFonts w:ascii="Times New Roman" w:hAnsi="Times New Roman" w:cs="Times New Roman"/>
        </w:rPr>
        <w:t>Mojmir</w:t>
      </w:r>
      <w:proofErr w:type="spellEnd"/>
      <w:r w:rsidRPr="003D2124">
        <w:rPr>
          <w:rFonts w:ascii="Times New Roman" w:hAnsi="Times New Roman" w:cs="Times New Roman"/>
        </w:rPr>
        <w:t xml:space="preserve"> et al.(eds.)(2004).</w:t>
      </w:r>
    </w:p>
    <w:p w:rsidR="003D2124" w:rsidRPr="003D2124" w:rsidRDefault="003D2124" w:rsidP="003D2124">
      <w:pPr>
        <w:ind w:left="210" w:hangingChars="100" w:hanging="210"/>
        <w:rPr>
          <w:rFonts w:ascii="Times New Roman" w:hAnsi="Times New Roman" w:cs="Times New Roman"/>
        </w:rPr>
      </w:pPr>
      <w:proofErr w:type="spellStart"/>
      <w:r w:rsidRPr="003D2124">
        <w:rPr>
          <w:rFonts w:ascii="Times New Roman" w:hAnsi="Times New Roman" w:cs="Times New Roman"/>
        </w:rPr>
        <w:t>Mencinger</w:t>
      </w:r>
      <w:proofErr w:type="spellEnd"/>
      <w:r w:rsidRPr="003D2124">
        <w:rPr>
          <w:rFonts w:ascii="Times New Roman" w:hAnsi="Times New Roman" w:cs="Times New Roman"/>
        </w:rPr>
        <w:t xml:space="preserve">, </w:t>
      </w:r>
      <w:proofErr w:type="spellStart"/>
      <w:r w:rsidRPr="003D2124">
        <w:rPr>
          <w:rFonts w:ascii="Times New Roman" w:hAnsi="Times New Roman" w:cs="Times New Roman"/>
        </w:rPr>
        <w:t>Joze</w:t>
      </w:r>
      <w:proofErr w:type="spellEnd"/>
      <w:r w:rsidRPr="003D2124">
        <w:rPr>
          <w:rFonts w:ascii="Times New Roman" w:hAnsi="Times New Roman" w:cs="Times New Roman"/>
        </w:rPr>
        <w:t xml:space="preserve"> (2008?), The “Addiction” to FDI and the Current Account Balance – The Experience of Transition Countries.</w:t>
      </w:r>
    </w:p>
    <w:p w:rsidR="003D2124" w:rsidRPr="003D2124" w:rsidRDefault="003D2124" w:rsidP="003D2124">
      <w:pPr>
        <w:ind w:left="210" w:hangingChars="100" w:hanging="210"/>
        <w:rPr>
          <w:rFonts w:ascii="Times New Roman" w:hAnsi="Times New Roman" w:cs="Times New Roman"/>
        </w:rPr>
      </w:pPr>
      <w:proofErr w:type="spellStart"/>
      <w:r w:rsidRPr="003D2124">
        <w:rPr>
          <w:rFonts w:ascii="Times New Roman" w:hAnsi="Times New Roman" w:cs="Times New Roman"/>
        </w:rPr>
        <w:t>Mencinger</w:t>
      </w:r>
      <w:proofErr w:type="spellEnd"/>
      <w:r w:rsidRPr="003D2124">
        <w:rPr>
          <w:rFonts w:ascii="Times New Roman" w:hAnsi="Times New Roman" w:cs="Times New Roman"/>
        </w:rPr>
        <w:t xml:space="preserve">, </w:t>
      </w:r>
      <w:proofErr w:type="spellStart"/>
      <w:r w:rsidRPr="003D2124">
        <w:rPr>
          <w:rFonts w:ascii="Times New Roman" w:hAnsi="Times New Roman" w:cs="Times New Roman"/>
        </w:rPr>
        <w:t>Joze</w:t>
      </w:r>
      <w:proofErr w:type="spellEnd"/>
      <w:r w:rsidRPr="003D2124">
        <w:rPr>
          <w:rFonts w:ascii="Times New Roman" w:hAnsi="Times New Roman" w:cs="Times New Roman"/>
        </w:rPr>
        <w:t xml:space="preserve"> (2013), The Rise and Decline of a Country: Experience of Slovenia, in </w:t>
      </w:r>
      <w:proofErr w:type="spellStart"/>
      <w:r w:rsidRPr="003D2124">
        <w:rPr>
          <w:rFonts w:ascii="Times New Roman" w:hAnsi="Times New Roman" w:cs="Times New Roman"/>
        </w:rPr>
        <w:t>Prunk</w:t>
      </w:r>
      <w:proofErr w:type="spellEnd"/>
      <w:r w:rsidRPr="003D2124">
        <w:rPr>
          <w:rFonts w:ascii="Times New Roman" w:hAnsi="Times New Roman" w:cs="Times New Roman"/>
        </w:rPr>
        <w:t xml:space="preserve"> and </w:t>
      </w:r>
      <w:proofErr w:type="spellStart"/>
      <w:r w:rsidRPr="003D2124">
        <w:rPr>
          <w:rFonts w:ascii="Times New Roman" w:hAnsi="Times New Roman" w:cs="Times New Roman"/>
        </w:rPr>
        <w:t>Dezelan</w:t>
      </w:r>
      <w:proofErr w:type="spellEnd"/>
      <w:r w:rsidRPr="003D2124">
        <w:rPr>
          <w:rFonts w:ascii="Times New Roman" w:hAnsi="Times New Roman" w:cs="Times New Roman"/>
        </w:rPr>
        <w:t xml:space="preserve"> (eds.), </w:t>
      </w:r>
      <w:proofErr w:type="spellStart"/>
      <w:r w:rsidRPr="003D2124">
        <w:rPr>
          <w:rFonts w:ascii="Times New Roman" w:hAnsi="Times New Roman" w:cs="Times New Roman"/>
          <w:i/>
        </w:rPr>
        <w:t>Dvajest</w:t>
      </w:r>
      <w:proofErr w:type="spellEnd"/>
      <w:r w:rsidRPr="003D2124">
        <w:rPr>
          <w:rFonts w:ascii="Times New Roman" w:hAnsi="Times New Roman" w:cs="Times New Roman"/>
          <w:i/>
        </w:rPr>
        <w:t xml:space="preserve"> let </w:t>
      </w:r>
      <w:proofErr w:type="spellStart"/>
      <w:r w:rsidRPr="003D2124">
        <w:rPr>
          <w:rFonts w:ascii="Times New Roman" w:hAnsi="Times New Roman" w:cs="Times New Roman"/>
          <w:i/>
        </w:rPr>
        <w:t>slovenske</w:t>
      </w:r>
      <w:proofErr w:type="spellEnd"/>
      <w:r w:rsidRPr="003D2124">
        <w:rPr>
          <w:rFonts w:ascii="Times New Roman" w:hAnsi="Times New Roman" w:cs="Times New Roman"/>
          <w:i/>
        </w:rPr>
        <w:t xml:space="preserve"> </w:t>
      </w:r>
      <w:proofErr w:type="spellStart"/>
      <w:r w:rsidRPr="003D2124">
        <w:rPr>
          <w:rFonts w:ascii="Times New Roman" w:hAnsi="Times New Roman" w:cs="Times New Roman"/>
          <w:i/>
        </w:rPr>
        <w:t>drzave</w:t>
      </w:r>
      <w:proofErr w:type="spellEnd"/>
      <w:r w:rsidRPr="003D2124">
        <w:rPr>
          <w:rFonts w:ascii="Times New Roman" w:hAnsi="Times New Roman" w:cs="Times New Roman"/>
        </w:rPr>
        <w:t xml:space="preserve">, Ljubljana: </w:t>
      </w:r>
      <w:proofErr w:type="spellStart"/>
      <w:r w:rsidRPr="003D2124">
        <w:rPr>
          <w:rFonts w:ascii="Times New Roman" w:hAnsi="Times New Roman" w:cs="Times New Roman"/>
        </w:rPr>
        <w:t>Fakultet</w:t>
      </w:r>
      <w:proofErr w:type="spellEnd"/>
      <w:r w:rsidRPr="003D2124">
        <w:rPr>
          <w:rFonts w:ascii="Times New Roman" w:hAnsi="Times New Roman" w:cs="Times New Roman"/>
        </w:rPr>
        <w:t xml:space="preserve"> </w:t>
      </w:r>
      <w:proofErr w:type="spellStart"/>
      <w:r w:rsidRPr="003D2124">
        <w:rPr>
          <w:rFonts w:ascii="Times New Roman" w:hAnsi="Times New Roman" w:cs="Times New Roman"/>
        </w:rPr>
        <w:t>za</w:t>
      </w:r>
      <w:proofErr w:type="spellEnd"/>
      <w:r w:rsidRPr="003D2124">
        <w:rPr>
          <w:rFonts w:ascii="Times New Roman" w:hAnsi="Times New Roman" w:cs="Times New Roman"/>
        </w:rPr>
        <w:t xml:space="preserve"> </w:t>
      </w:r>
      <w:proofErr w:type="spellStart"/>
      <w:r w:rsidRPr="003D2124">
        <w:rPr>
          <w:rFonts w:ascii="Times New Roman" w:hAnsi="Times New Roman" w:cs="Times New Roman"/>
        </w:rPr>
        <w:t>druzbene</w:t>
      </w:r>
      <w:proofErr w:type="spellEnd"/>
      <w:r w:rsidRPr="003D2124">
        <w:rPr>
          <w:rFonts w:ascii="Times New Roman" w:hAnsi="Times New Roman" w:cs="Times New Roman"/>
        </w:rPr>
        <w:t xml:space="preserve"> </w:t>
      </w:r>
      <w:proofErr w:type="spellStart"/>
      <w:r w:rsidRPr="003D2124">
        <w:rPr>
          <w:rFonts w:ascii="Times New Roman" w:hAnsi="Times New Roman" w:cs="Times New Roman"/>
        </w:rPr>
        <w:t>vede</w:t>
      </w:r>
      <w:proofErr w:type="spellEnd"/>
      <w:r w:rsidRPr="003D2124">
        <w:rPr>
          <w:rFonts w:ascii="Times New Roman" w:hAnsi="Times New Roman" w:cs="Times New Roman"/>
        </w:rPr>
        <w:t>.</w:t>
      </w:r>
    </w:p>
    <w:p w:rsidR="003D2124" w:rsidRDefault="003D2124" w:rsidP="0032738C">
      <w:pPr>
        <w:ind w:left="210" w:hangingChars="100" w:hanging="210"/>
        <w:rPr>
          <w:rFonts w:ascii="Times New Roman" w:hAnsi="Times New Roman" w:cs="Times New Roman"/>
        </w:rPr>
      </w:pPr>
      <w:r w:rsidRPr="003D2124">
        <w:rPr>
          <w:rFonts w:ascii="Times New Roman" w:hAnsi="Times New Roman" w:cs="Times New Roman"/>
        </w:rPr>
        <w:t>Rahman, Jasmin (2008), Current Account Developments in New Member States of the European Union: Equilibrium, Excess and EU-</w:t>
      </w:r>
      <w:proofErr w:type="spellStart"/>
      <w:r w:rsidRPr="003D2124">
        <w:rPr>
          <w:rFonts w:ascii="Times New Roman" w:hAnsi="Times New Roman" w:cs="Times New Roman"/>
        </w:rPr>
        <w:t>phoria</w:t>
      </w:r>
      <w:proofErr w:type="spellEnd"/>
      <w:r w:rsidRPr="003D2124">
        <w:rPr>
          <w:rFonts w:ascii="Times New Roman" w:hAnsi="Times New Roman" w:cs="Times New Roman"/>
        </w:rPr>
        <w:t>, IMF Working Paper, No.08/92, http://www.imf.org/external/pubs/cat/longres/cfm?sk=21882.0 (Accessed on August 20, 2009</w:t>
      </w:r>
      <w:r w:rsidRPr="003D2124">
        <w:rPr>
          <w:rFonts w:ascii="Times New Roman" w:hAnsi="Times New Roman" w:cs="Times New Roman"/>
        </w:rPr>
        <w:t>）</w:t>
      </w:r>
    </w:p>
    <w:p w:rsidR="003647BB" w:rsidRPr="003D2124" w:rsidRDefault="003647BB" w:rsidP="0032738C">
      <w:pPr>
        <w:ind w:left="210" w:hangingChars="100" w:hanging="210"/>
        <w:rPr>
          <w:rFonts w:ascii="Times New Roman" w:hAnsi="Times New Roman" w:cs="Times New Roman"/>
        </w:rPr>
      </w:pPr>
      <w:r>
        <w:rPr>
          <w:rFonts w:ascii="Times New Roman" w:hAnsi="Times New Roman" w:cs="Times New Roman" w:hint="eastAsia"/>
        </w:rPr>
        <w:t xml:space="preserve">Rosenberg, </w:t>
      </w:r>
      <w:proofErr w:type="spellStart"/>
      <w:r>
        <w:rPr>
          <w:rFonts w:ascii="Times New Roman" w:hAnsi="Times New Roman" w:cs="Times New Roman" w:hint="eastAsia"/>
        </w:rPr>
        <w:t>Christoph</w:t>
      </w:r>
      <w:proofErr w:type="spellEnd"/>
      <w:r>
        <w:rPr>
          <w:rFonts w:ascii="Times New Roman" w:hAnsi="Times New Roman" w:cs="Times New Roman" w:hint="eastAsia"/>
        </w:rPr>
        <w:t xml:space="preserve"> (2008), Foreign Currency Borrowing More Risky for Eastern Europe, IMF Survey Magazine: Countries &amp; Regions, October 28, 2008, </w:t>
      </w:r>
      <w:r w:rsidRPr="003647BB">
        <w:rPr>
          <w:rFonts w:ascii="Times New Roman" w:hAnsi="Times New Roman" w:cs="Times New Roman" w:hint="eastAsia"/>
        </w:rPr>
        <w:t>http://www.imf.org/external/pubs/ft/survey/so2008/CAR102808A.htm</w:t>
      </w:r>
      <w:r>
        <w:rPr>
          <w:rFonts w:ascii="Times New Roman" w:hAnsi="Times New Roman" w:cs="Times New Roman" w:hint="eastAsia"/>
        </w:rPr>
        <w:t xml:space="preserve"> (Accessed on August 20, 2009)</w:t>
      </w:r>
    </w:p>
    <w:p w:rsidR="003D2124" w:rsidRPr="003D2124" w:rsidRDefault="003D2124" w:rsidP="0032738C">
      <w:pPr>
        <w:ind w:left="210" w:hangingChars="100" w:hanging="210"/>
        <w:rPr>
          <w:rFonts w:ascii="Times New Roman" w:hAnsi="Times New Roman" w:cs="Times New Roman"/>
        </w:rPr>
      </w:pPr>
      <w:proofErr w:type="spellStart"/>
      <w:r w:rsidRPr="003D2124">
        <w:rPr>
          <w:rFonts w:ascii="Times New Roman" w:hAnsi="Times New Roman" w:cs="Times New Roman"/>
        </w:rPr>
        <w:lastRenderedPageBreak/>
        <w:t>Sendi</w:t>
      </w:r>
      <w:proofErr w:type="spellEnd"/>
      <w:r w:rsidRPr="003D2124">
        <w:rPr>
          <w:rFonts w:ascii="Times New Roman" w:hAnsi="Times New Roman" w:cs="Times New Roman"/>
        </w:rPr>
        <w:t xml:space="preserve">, Richard (2010), Housing bubble burst or credit crunch effect?: Slovenia’s housing market, </w:t>
      </w:r>
      <w:proofErr w:type="spellStart"/>
      <w:r w:rsidRPr="003D2124">
        <w:rPr>
          <w:rFonts w:ascii="Times New Roman" w:hAnsi="Times New Roman" w:cs="Times New Roman"/>
          <w:i/>
        </w:rPr>
        <w:t>Urbani</w:t>
      </w:r>
      <w:proofErr w:type="spellEnd"/>
      <w:r w:rsidRPr="003D2124">
        <w:rPr>
          <w:rFonts w:ascii="Times New Roman" w:hAnsi="Times New Roman" w:cs="Times New Roman"/>
          <w:i/>
        </w:rPr>
        <w:t xml:space="preserve"> </w:t>
      </w:r>
      <w:proofErr w:type="spellStart"/>
      <w:r w:rsidRPr="003D2124">
        <w:rPr>
          <w:rFonts w:ascii="Times New Roman" w:hAnsi="Times New Roman" w:cs="Times New Roman"/>
          <w:i/>
        </w:rPr>
        <w:t>izziv</w:t>
      </w:r>
      <w:proofErr w:type="spellEnd"/>
      <w:r w:rsidRPr="003D2124">
        <w:rPr>
          <w:rFonts w:ascii="Times New Roman" w:hAnsi="Times New Roman" w:cs="Times New Roman"/>
        </w:rPr>
        <w:t>, volume 21, no. 2, 2010. pp. 96-105.</w:t>
      </w:r>
    </w:p>
    <w:p w:rsidR="003D2124" w:rsidRPr="003D2124" w:rsidRDefault="003D2124" w:rsidP="003D2124">
      <w:pPr>
        <w:pStyle w:val="aa"/>
      </w:pPr>
      <w:proofErr w:type="spellStart"/>
      <w:r w:rsidRPr="003D2124">
        <w:t>Stanojevic</w:t>
      </w:r>
      <w:proofErr w:type="spellEnd"/>
      <w:r w:rsidRPr="003D2124">
        <w:t xml:space="preserve">, </w:t>
      </w:r>
      <w:proofErr w:type="spellStart"/>
      <w:r w:rsidRPr="003D2124">
        <w:t>Miroslav</w:t>
      </w:r>
      <w:proofErr w:type="spellEnd"/>
      <w:r w:rsidRPr="003D2124">
        <w:t xml:space="preserve"> (2012), The Rise and Decline of Slovenian Corporatism: Local and European Factors, </w:t>
      </w:r>
      <w:r w:rsidRPr="003D2124">
        <w:rPr>
          <w:i/>
        </w:rPr>
        <w:t>Europe-Asia Studies</w:t>
      </w:r>
      <w:r w:rsidRPr="003D2124">
        <w:t>, No. X.</w:t>
      </w:r>
    </w:p>
    <w:p w:rsidR="003D2124" w:rsidRPr="003D2124" w:rsidRDefault="003D2124" w:rsidP="0032738C">
      <w:pPr>
        <w:ind w:left="210" w:hangingChars="100" w:hanging="210"/>
        <w:rPr>
          <w:rFonts w:ascii="Times New Roman" w:hAnsi="Times New Roman" w:cs="Times New Roman"/>
        </w:rPr>
      </w:pPr>
      <w:proofErr w:type="spellStart"/>
      <w:r w:rsidRPr="003D2124">
        <w:rPr>
          <w:rFonts w:ascii="Times New Roman" w:hAnsi="Times New Roman" w:cs="Times New Roman"/>
        </w:rPr>
        <w:t>Stanojevic</w:t>
      </w:r>
      <w:proofErr w:type="spellEnd"/>
      <w:r w:rsidRPr="003D2124">
        <w:rPr>
          <w:rFonts w:ascii="Times New Roman" w:hAnsi="Times New Roman" w:cs="Times New Roman"/>
        </w:rPr>
        <w:t xml:space="preserve">, </w:t>
      </w:r>
      <w:proofErr w:type="spellStart"/>
      <w:r w:rsidRPr="003D2124">
        <w:rPr>
          <w:rFonts w:ascii="Times New Roman" w:hAnsi="Times New Roman" w:cs="Times New Roman"/>
        </w:rPr>
        <w:t>Miroslav</w:t>
      </w:r>
      <w:proofErr w:type="spellEnd"/>
      <w:r w:rsidRPr="003D2124">
        <w:rPr>
          <w:rFonts w:ascii="Times New Roman" w:hAnsi="Times New Roman" w:cs="Times New Roman"/>
        </w:rPr>
        <w:t xml:space="preserve"> and </w:t>
      </w:r>
      <w:proofErr w:type="spellStart"/>
      <w:r w:rsidRPr="003D2124">
        <w:rPr>
          <w:rFonts w:ascii="Times New Roman" w:hAnsi="Times New Roman" w:cs="Times New Roman"/>
        </w:rPr>
        <w:t>Matej</w:t>
      </w:r>
      <w:proofErr w:type="spellEnd"/>
      <w:r w:rsidRPr="003D2124">
        <w:rPr>
          <w:rFonts w:ascii="Times New Roman" w:hAnsi="Times New Roman" w:cs="Times New Roman"/>
        </w:rPr>
        <w:t xml:space="preserve"> </w:t>
      </w:r>
      <w:proofErr w:type="spellStart"/>
      <w:r w:rsidRPr="003D2124">
        <w:rPr>
          <w:rFonts w:ascii="Times New Roman" w:hAnsi="Times New Roman" w:cs="Times New Roman"/>
        </w:rPr>
        <w:t>Klaric</w:t>
      </w:r>
      <w:proofErr w:type="spellEnd"/>
      <w:r w:rsidRPr="003D2124">
        <w:rPr>
          <w:rFonts w:ascii="Times New Roman" w:hAnsi="Times New Roman" w:cs="Times New Roman"/>
        </w:rPr>
        <w:t xml:space="preserve"> (2013), The impact of socio-economic shocks on social dialogue in Slovenia, </w:t>
      </w:r>
      <w:r w:rsidRPr="003D2124">
        <w:rPr>
          <w:rFonts w:ascii="Times New Roman" w:hAnsi="Times New Roman" w:cs="Times New Roman"/>
          <w:i/>
        </w:rPr>
        <w:t xml:space="preserve">Transfer: European Review of </w:t>
      </w:r>
      <w:proofErr w:type="spellStart"/>
      <w:r w:rsidRPr="003D2124">
        <w:rPr>
          <w:rFonts w:ascii="Times New Roman" w:hAnsi="Times New Roman" w:cs="Times New Roman"/>
          <w:i/>
        </w:rPr>
        <w:t>Labour</w:t>
      </w:r>
      <w:proofErr w:type="spellEnd"/>
      <w:r w:rsidRPr="003D2124">
        <w:rPr>
          <w:rFonts w:ascii="Times New Roman" w:hAnsi="Times New Roman" w:cs="Times New Roman"/>
          <w:i/>
        </w:rPr>
        <w:t xml:space="preserve"> and Research</w:t>
      </w:r>
      <w:r w:rsidRPr="003D2124">
        <w:rPr>
          <w:rFonts w:ascii="Times New Roman" w:hAnsi="Times New Roman" w:cs="Times New Roman"/>
        </w:rPr>
        <w:t>, 19 (2) 217-226.</w:t>
      </w:r>
    </w:p>
    <w:p w:rsidR="003D2124" w:rsidRPr="003D2124" w:rsidRDefault="003D2124" w:rsidP="003D2124">
      <w:pPr>
        <w:pStyle w:val="aa"/>
      </w:pPr>
      <w:proofErr w:type="spellStart"/>
      <w:r w:rsidRPr="003D2124">
        <w:t>Svetlicic</w:t>
      </w:r>
      <w:proofErr w:type="spellEnd"/>
      <w:r w:rsidRPr="003D2124">
        <w:t xml:space="preserve">, </w:t>
      </w:r>
      <w:proofErr w:type="spellStart"/>
      <w:r w:rsidRPr="003D2124">
        <w:t>Marjan</w:t>
      </w:r>
      <w:proofErr w:type="spellEnd"/>
      <w:r w:rsidRPr="003D2124">
        <w:t xml:space="preserve"> (1997), Small Country in a Globalized World: Their Honey Moon or Twilight?, Paper prepared for ECPR Workshop on Small States in the Transforming European System.</w:t>
      </w:r>
    </w:p>
    <w:p w:rsidR="003D2124" w:rsidRPr="003D2124" w:rsidRDefault="003D2124" w:rsidP="003D2124">
      <w:pPr>
        <w:ind w:left="210" w:hangingChars="100" w:hanging="210"/>
        <w:rPr>
          <w:rFonts w:ascii="Times New Roman" w:hAnsi="Times New Roman" w:cs="Times New Roman"/>
        </w:rPr>
      </w:pPr>
      <w:proofErr w:type="spellStart"/>
      <w:r w:rsidRPr="003D2124">
        <w:rPr>
          <w:rFonts w:ascii="Times New Roman" w:hAnsi="Times New Roman" w:cs="Times New Roman"/>
        </w:rPr>
        <w:t>Svetlicic</w:t>
      </w:r>
      <w:proofErr w:type="spellEnd"/>
      <w:r w:rsidRPr="003D2124">
        <w:rPr>
          <w:rFonts w:ascii="Times New Roman" w:hAnsi="Times New Roman" w:cs="Times New Roman"/>
        </w:rPr>
        <w:t xml:space="preserve">, </w:t>
      </w:r>
      <w:proofErr w:type="spellStart"/>
      <w:r w:rsidRPr="003D2124">
        <w:rPr>
          <w:rFonts w:ascii="Times New Roman" w:hAnsi="Times New Roman" w:cs="Times New Roman"/>
        </w:rPr>
        <w:t>Marjan</w:t>
      </w:r>
      <w:proofErr w:type="spellEnd"/>
      <w:r w:rsidRPr="003D2124">
        <w:rPr>
          <w:rFonts w:ascii="Times New Roman" w:hAnsi="Times New Roman" w:cs="Times New Roman"/>
        </w:rPr>
        <w:t xml:space="preserve"> (2008), Reversed internationalization path: the case of Slovenia, AIB Insights, Vol. 8, No. 1, 2008.</w:t>
      </w:r>
    </w:p>
    <w:p w:rsidR="003D2124" w:rsidRDefault="003D2124" w:rsidP="00605516">
      <w:pPr>
        <w:ind w:left="210" w:hangingChars="100" w:hanging="210"/>
        <w:rPr>
          <w:rFonts w:ascii="Times New Roman" w:hAnsi="Times New Roman" w:cs="Times New Roman"/>
        </w:rPr>
      </w:pPr>
      <w:proofErr w:type="spellStart"/>
      <w:r w:rsidRPr="003D2124">
        <w:rPr>
          <w:rFonts w:ascii="Times New Roman" w:hAnsi="Times New Roman" w:cs="Times New Roman"/>
        </w:rPr>
        <w:t>Svetlicic</w:t>
      </w:r>
      <w:proofErr w:type="spellEnd"/>
      <w:r w:rsidRPr="003D2124">
        <w:rPr>
          <w:rFonts w:ascii="Times New Roman" w:hAnsi="Times New Roman" w:cs="Times New Roman"/>
        </w:rPr>
        <w:t xml:space="preserve">, </w:t>
      </w:r>
      <w:proofErr w:type="spellStart"/>
      <w:r w:rsidRPr="003D2124">
        <w:rPr>
          <w:rFonts w:ascii="Times New Roman" w:hAnsi="Times New Roman" w:cs="Times New Roman"/>
        </w:rPr>
        <w:t>Marjan</w:t>
      </w:r>
      <w:proofErr w:type="spellEnd"/>
      <w:r w:rsidRPr="003D2124">
        <w:rPr>
          <w:rFonts w:ascii="Times New Roman" w:hAnsi="Times New Roman" w:cs="Times New Roman"/>
        </w:rPr>
        <w:t xml:space="preserve"> and </w:t>
      </w:r>
      <w:proofErr w:type="spellStart"/>
      <w:r w:rsidRPr="003D2124">
        <w:rPr>
          <w:rFonts w:ascii="Times New Roman" w:hAnsi="Times New Roman" w:cs="Times New Roman"/>
        </w:rPr>
        <w:t>Andreja</w:t>
      </w:r>
      <w:proofErr w:type="spellEnd"/>
      <w:r w:rsidRPr="003D2124">
        <w:rPr>
          <w:rFonts w:ascii="Times New Roman" w:hAnsi="Times New Roman" w:cs="Times New Roman"/>
        </w:rPr>
        <w:t xml:space="preserve"> </w:t>
      </w:r>
      <w:proofErr w:type="spellStart"/>
      <w:r w:rsidRPr="003D2124">
        <w:rPr>
          <w:rFonts w:ascii="Times New Roman" w:hAnsi="Times New Roman" w:cs="Times New Roman"/>
        </w:rPr>
        <w:t>Jaklic</w:t>
      </w:r>
      <w:proofErr w:type="spellEnd"/>
      <w:r w:rsidRPr="003D2124">
        <w:rPr>
          <w:rFonts w:ascii="Times New Roman" w:hAnsi="Times New Roman" w:cs="Times New Roman"/>
        </w:rPr>
        <w:t xml:space="preserve"> (2013), Slovene Multinational Enterprises’ Reaction to the Crises.</w:t>
      </w:r>
    </w:p>
    <w:p w:rsidR="00642EDB" w:rsidRDefault="00642EDB" w:rsidP="00605516">
      <w:pPr>
        <w:ind w:left="210" w:hangingChars="100" w:hanging="210"/>
        <w:rPr>
          <w:rFonts w:ascii="Times New Roman" w:hAnsi="Times New Roman" w:cs="Times New Roman"/>
        </w:rPr>
      </w:pPr>
      <w:r>
        <w:rPr>
          <w:rFonts w:ascii="Times New Roman" w:hAnsi="Times New Roman" w:cs="Times New Roman" w:hint="eastAsia"/>
        </w:rPr>
        <w:t xml:space="preserve">World Bank (2005), EU Accession </w:t>
      </w:r>
      <w:r>
        <w:rPr>
          <w:rFonts w:ascii="Times New Roman" w:hAnsi="Times New Roman" w:cs="Times New Roman"/>
        </w:rPr>
        <w:t>–</w:t>
      </w:r>
      <w:r>
        <w:rPr>
          <w:rFonts w:ascii="Times New Roman" w:hAnsi="Times New Roman" w:cs="Times New Roman" w:hint="eastAsia"/>
        </w:rPr>
        <w:t xml:space="preserve"> One Year After, </w:t>
      </w:r>
      <w:r w:rsidRPr="00642EDB">
        <w:rPr>
          <w:rFonts w:ascii="Times New Roman" w:hAnsi="Times New Roman" w:cs="Times New Roman" w:hint="eastAsia"/>
        </w:rPr>
        <w:t>http://siteresources.worldbank.org/INTECA/</w:t>
      </w:r>
    </w:p>
    <w:p w:rsidR="00642EDB" w:rsidRDefault="00642EDB" w:rsidP="00642EDB">
      <w:pPr>
        <w:ind w:leftChars="100" w:left="210"/>
        <w:rPr>
          <w:rFonts w:ascii="Times New Roman" w:hAnsi="Times New Roman" w:cs="Times New Roman"/>
        </w:rPr>
      </w:pPr>
      <w:r w:rsidRPr="00642EDB">
        <w:rPr>
          <w:rFonts w:ascii="Times New Roman" w:hAnsi="Times New Roman" w:cs="Times New Roman" w:hint="eastAsia"/>
        </w:rPr>
        <w:t>Resources/eu8-jul05.part2.pdf</w:t>
      </w:r>
      <w:r>
        <w:rPr>
          <w:rFonts w:ascii="Times New Roman" w:hAnsi="Times New Roman" w:cs="Times New Roman" w:hint="eastAsia"/>
        </w:rPr>
        <w:t xml:space="preserve"> (accessed on December 29, 2006)</w:t>
      </w:r>
    </w:p>
    <w:p w:rsidR="00576BC9" w:rsidRDefault="00576BC9" w:rsidP="00576BC9">
      <w:pPr>
        <w:ind w:left="210" w:hangingChars="100" w:hanging="210"/>
        <w:rPr>
          <w:rFonts w:ascii="Times New Roman" w:hAnsi="Times New Roman" w:cs="Times New Roman"/>
        </w:rPr>
      </w:pPr>
      <w:r>
        <w:rPr>
          <w:rFonts w:ascii="Times New Roman" w:hAnsi="Times New Roman" w:cs="Times New Roman" w:hint="eastAsia"/>
        </w:rPr>
        <w:t>堀林巧（</w:t>
      </w:r>
      <w:r>
        <w:rPr>
          <w:rFonts w:ascii="Times New Roman" w:hAnsi="Times New Roman" w:cs="Times New Roman" w:hint="eastAsia"/>
        </w:rPr>
        <w:t>2014</w:t>
      </w:r>
      <w:r>
        <w:rPr>
          <w:rFonts w:ascii="Times New Roman" w:hAnsi="Times New Roman" w:cs="Times New Roman" w:hint="eastAsia"/>
        </w:rPr>
        <w:t>）『自由市場資本主義の再形成と動揺－現代比較社会経済分析－』世界思想社。</w:t>
      </w:r>
    </w:p>
    <w:p w:rsidR="00576BC9" w:rsidRDefault="00576BC9" w:rsidP="00576BC9">
      <w:pPr>
        <w:ind w:left="210" w:hangingChars="100" w:hanging="210"/>
        <w:rPr>
          <w:rFonts w:ascii="Times New Roman" w:hAnsi="Times New Roman" w:cs="Times New Roman"/>
        </w:rPr>
      </w:pPr>
      <w:r>
        <w:rPr>
          <w:rFonts w:ascii="Times New Roman" w:hAnsi="Times New Roman" w:cs="Times New Roman" w:hint="eastAsia"/>
        </w:rPr>
        <w:t>小山洋司（</w:t>
      </w:r>
      <w:r>
        <w:rPr>
          <w:rFonts w:ascii="Times New Roman" w:hAnsi="Times New Roman" w:cs="Times New Roman" w:hint="eastAsia"/>
        </w:rPr>
        <w:t>2010</w:t>
      </w:r>
      <w:r>
        <w:rPr>
          <w:rFonts w:ascii="Times New Roman" w:hAnsi="Times New Roman" w:cs="Times New Roman" w:hint="eastAsia"/>
        </w:rPr>
        <w:t>）「中東欧新規</w:t>
      </w:r>
      <w:r>
        <w:rPr>
          <w:rFonts w:ascii="Times New Roman" w:hAnsi="Times New Roman" w:cs="Times New Roman" w:hint="eastAsia"/>
        </w:rPr>
        <w:t>EU</w:t>
      </w:r>
      <w:r>
        <w:rPr>
          <w:rFonts w:ascii="Times New Roman" w:hAnsi="Times New Roman" w:cs="Times New Roman" w:hint="eastAsia"/>
        </w:rPr>
        <w:t>加盟国の経済危機：バルト</w:t>
      </w:r>
      <w:r>
        <w:rPr>
          <w:rFonts w:ascii="Times New Roman" w:hAnsi="Times New Roman" w:cs="Times New Roman" w:hint="eastAsia"/>
        </w:rPr>
        <w:t>3</w:t>
      </w:r>
      <w:r>
        <w:rPr>
          <w:rFonts w:ascii="Times New Roman" w:hAnsi="Times New Roman" w:cs="Times New Roman" w:hint="eastAsia"/>
        </w:rPr>
        <w:t>国を中心に」『比較経済研究』第</w:t>
      </w:r>
      <w:r>
        <w:rPr>
          <w:rFonts w:ascii="Times New Roman" w:hAnsi="Times New Roman" w:cs="Times New Roman" w:hint="eastAsia"/>
        </w:rPr>
        <w:t>47</w:t>
      </w:r>
      <w:r>
        <w:rPr>
          <w:rFonts w:ascii="Times New Roman" w:hAnsi="Times New Roman" w:cs="Times New Roman" w:hint="eastAsia"/>
        </w:rPr>
        <w:t>巻第</w:t>
      </w:r>
      <w:r>
        <w:rPr>
          <w:rFonts w:ascii="Times New Roman" w:hAnsi="Times New Roman" w:cs="Times New Roman" w:hint="eastAsia"/>
        </w:rPr>
        <w:t>2</w:t>
      </w:r>
      <w:r>
        <w:rPr>
          <w:rFonts w:ascii="Times New Roman" w:hAnsi="Times New Roman" w:cs="Times New Roman" w:hint="eastAsia"/>
        </w:rPr>
        <w:t>号。</w:t>
      </w:r>
    </w:p>
    <w:p w:rsidR="00576BC9" w:rsidRPr="003D2124" w:rsidRDefault="00576BC9" w:rsidP="00576BC9">
      <w:pPr>
        <w:ind w:left="210" w:hangingChars="100" w:hanging="210"/>
        <w:rPr>
          <w:rFonts w:ascii="Times New Roman" w:hAnsi="Times New Roman" w:cs="Times New Roman"/>
        </w:rPr>
      </w:pPr>
      <w:r w:rsidRPr="003D2124">
        <w:rPr>
          <w:rFonts w:ascii="Times New Roman" w:hAnsi="Times New Roman" w:cs="Times New Roman"/>
        </w:rPr>
        <w:t>小山洋司（</w:t>
      </w:r>
      <w:r w:rsidRPr="003D2124">
        <w:rPr>
          <w:rFonts w:ascii="Times New Roman" w:hAnsi="Times New Roman" w:cs="Times New Roman"/>
        </w:rPr>
        <w:t>2014a</w:t>
      </w:r>
      <w:r w:rsidRPr="003D2124">
        <w:rPr>
          <w:rFonts w:ascii="Times New Roman" w:hAnsi="Times New Roman" w:cs="Times New Roman"/>
        </w:rPr>
        <w:t>）「スロヴェニアのサクセス・ストーリーとその落し穴」『ロシア・東欧学会年報』第</w:t>
      </w:r>
      <w:r w:rsidRPr="003D2124">
        <w:rPr>
          <w:rFonts w:ascii="Times New Roman" w:hAnsi="Times New Roman" w:cs="Times New Roman"/>
        </w:rPr>
        <w:t>42</w:t>
      </w:r>
      <w:r w:rsidRPr="003D2124">
        <w:rPr>
          <w:rFonts w:ascii="Times New Roman" w:hAnsi="Times New Roman" w:cs="Times New Roman"/>
        </w:rPr>
        <w:t>号。</w:t>
      </w:r>
    </w:p>
    <w:p w:rsidR="00576BC9" w:rsidRDefault="00576BC9" w:rsidP="00576BC9">
      <w:pPr>
        <w:ind w:left="210" w:hangingChars="100" w:hanging="210"/>
        <w:rPr>
          <w:rFonts w:ascii="Times New Roman" w:hAnsi="Times New Roman" w:cs="Times New Roman"/>
        </w:rPr>
      </w:pPr>
      <w:r w:rsidRPr="003D2124">
        <w:rPr>
          <w:rFonts w:ascii="Times New Roman" w:hAnsi="Times New Roman" w:cs="Times New Roman"/>
        </w:rPr>
        <w:t>小山洋司（</w:t>
      </w:r>
      <w:r w:rsidRPr="003D2124">
        <w:rPr>
          <w:rFonts w:ascii="Times New Roman" w:hAnsi="Times New Roman" w:cs="Times New Roman"/>
        </w:rPr>
        <w:t>2014b</w:t>
      </w:r>
      <w:r w:rsidRPr="003D2124">
        <w:rPr>
          <w:rFonts w:ascii="Times New Roman" w:hAnsi="Times New Roman" w:cs="Times New Roman"/>
        </w:rPr>
        <w:t>）「中東欧</w:t>
      </w:r>
      <w:r w:rsidRPr="003D2124">
        <w:rPr>
          <w:rFonts w:ascii="Times New Roman" w:hAnsi="Times New Roman" w:cs="Times New Roman"/>
        </w:rPr>
        <w:t>EU</w:t>
      </w:r>
      <w:r w:rsidRPr="003D2124">
        <w:rPr>
          <w:rFonts w:ascii="Times New Roman" w:hAnsi="Times New Roman" w:cs="Times New Roman"/>
        </w:rPr>
        <w:t>新規加盟国とユーロ－スロベニアの事例を中心に－」『日本</w:t>
      </w:r>
      <w:r w:rsidRPr="003D2124">
        <w:rPr>
          <w:rFonts w:ascii="Times New Roman" w:hAnsi="Times New Roman" w:cs="Times New Roman"/>
        </w:rPr>
        <w:t>EU</w:t>
      </w:r>
      <w:r w:rsidRPr="003D2124">
        <w:rPr>
          <w:rFonts w:ascii="Times New Roman" w:hAnsi="Times New Roman" w:cs="Times New Roman"/>
        </w:rPr>
        <w:t>学会年報－』第</w:t>
      </w:r>
      <w:r w:rsidRPr="003D2124">
        <w:rPr>
          <w:rFonts w:ascii="Times New Roman" w:hAnsi="Times New Roman" w:cs="Times New Roman"/>
        </w:rPr>
        <w:t>34</w:t>
      </w:r>
      <w:r w:rsidRPr="003D2124">
        <w:rPr>
          <w:rFonts w:ascii="Times New Roman" w:hAnsi="Times New Roman" w:cs="Times New Roman"/>
        </w:rPr>
        <w:t>号。</w:t>
      </w:r>
    </w:p>
    <w:p w:rsidR="00576BC9" w:rsidRDefault="00576BC9" w:rsidP="00576BC9">
      <w:pPr>
        <w:ind w:left="210" w:hangingChars="100" w:hanging="210"/>
        <w:rPr>
          <w:rFonts w:ascii="Times New Roman" w:hAnsi="Times New Roman" w:cs="Times New Roman"/>
        </w:rPr>
      </w:pPr>
      <w:r>
        <w:rPr>
          <w:rFonts w:ascii="Times New Roman" w:hAnsi="Times New Roman" w:cs="Times New Roman" w:hint="eastAsia"/>
        </w:rPr>
        <w:t>小山洋司（</w:t>
      </w:r>
      <w:r>
        <w:rPr>
          <w:rFonts w:ascii="Times New Roman" w:hAnsi="Times New Roman" w:cs="Times New Roman" w:hint="eastAsia"/>
        </w:rPr>
        <w:t>2014c</w:t>
      </w:r>
      <w:r>
        <w:rPr>
          <w:rFonts w:ascii="Times New Roman" w:hAnsi="Times New Roman" w:cs="Times New Roman" w:hint="eastAsia"/>
        </w:rPr>
        <w:t>）「ビジネス・システムの視点から見たスロヴェニア社会の変化」（未発表論文）</w:t>
      </w:r>
    </w:p>
    <w:p w:rsidR="00576BC9" w:rsidRPr="00E26DE4" w:rsidRDefault="00576BC9" w:rsidP="00576BC9">
      <w:pPr>
        <w:ind w:left="210" w:hangingChars="100" w:hanging="210"/>
        <w:jc w:val="left"/>
        <w:rPr>
          <w:rFonts w:ascii="Times New Roman" w:hAnsi="Times New Roman" w:cs="Times New Roman"/>
          <w:b/>
          <w:sz w:val="28"/>
          <w:szCs w:val="28"/>
        </w:rPr>
      </w:pPr>
      <w:r>
        <w:rPr>
          <w:rFonts w:ascii="Times New Roman" w:hAnsi="Times New Roman" w:cs="Times New Roman" w:hint="eastAsia"/>
        </w:rPr>
        <w:t>小山洋司（</w:t>
      </w:r>
      <w:r>
        <w:rPr>
          <w:rFonts w:ascii="Times New Roman" w:hAnsi="Times New Roman" w:cs="Times New Roman" w:hint="eastAsia"/>
        </w:rPr>
        <w:t>2015</w:t>
      </w:r>
      <w:r>
        <w:rPr>
          <w:rFonts w:ascii="Times New Roman" w:hAnsi="Times New Roman" w:cs="Times New Roman" w:hint="eastAsia"/>
        </w:rPr>
        <w:t>）「</w:t>
      </w:r>
      <w:r w:rsidRPr="006D6AC8">
        <w:rPr>
          <w:rFonts w:ascii="Times New Roman" w:hAnsi="Times New Roman" w:cs="Times New Roman"/>
          <w:szCs w:val="21"/>
        </w:rPr>
        <w:t>スロヴェニアの経済危機と政治危機</w:t>
      </w:r>
      <w:r>
        <w:rPr>
          <w:rFonts w:ascii="Times New Roman" w:hAnsi="Times New Roman" w:cs="Times New Roman" w:hint="eastAsia"/>
          <w:szCs w:val="21"/>
        </w:rPr>
        <w:t>」『ロシア・ユーラシアの経済と社会』</w:t>
      </w:r>
      <w:r>
        <w:rPr>
          <w:rFonts w:ascii="Times New Roman" w:hAnsi="Times New Roman" w:cs="Times New Roman" w:hint="eastAsia"/>
          <w:szCs w:val="21"/>
        </w:rPr>
        <w:t>2015</w:t>
      </w:r>
      <w:r>
        <w:rPr>
          <w:rFonts w:ascii="Times New Roman" w:hAnsi="Times New Roman" w:cs="Times New Roman" w:hint="eastAsia"/>
          <w:szCs w:val="21"/>
        </w:rPr>
        <w:t>年</w:t>
      </w:r>
      <w:r>
        <w:rPr>
          <w:rFonts w:ascii="Times New Roman" w:hAnsi="Times New Roman" w:cs="Times New Roman" w:hint="eastAsia"/>
          <w:szCs w:val="21"/>
        </w:rPr>
        <w:t>2</w:t>
      </w:r>
      <w:r>
        <w:rPr>
          <w:rFonts w:ascii="Times New Roman" w:hAnsi="Times New Roman" w:cs="Times New Roman" w:hint="eastAsia"/>
          <w:szCs w:val="21"/>
        </w:rPr>
        <w:t>月号（掲載予定）。</w:t>
      </w:r>
    </w:p>
    <w:p w:rsidR="00576BC9" w:rsidRPr="003D2124" w:rsidRDefault="00576BC9" w:rsidP="00576BC9">
      <w:pPr>
        <w:rPr>
          <w:rFonts w:ascii="Times New Roman" w:hAnsi="Times New Roman" w:cs="Times New Roman"/>
        </w:rPr>
      </w:pPr>
      <w:r w:rsidRPr="003D2124">
        <w:rPr>
          <w:rFonts w:ascii="Times New Roman" w:hAnsi="Times New Roman" w:cs="Times New Roman"/>
        </w:rPr>
        <w:t>田中素香・長部重康・久保広正・岩田健治（</w:t>
      </w:r>
      <w:r w:rsidRPr="003D2124">
        <w:rPr>
          <w:rFonts w:ascii="Times New Roman" w:hAnsi="Times New Roman" w:cs="Times New Roman"/>
        </w:rPr>
        <w:t>2011</w:t>
      </w:r>
      <w:r w:rsidRPr="003D2124">
        <w:rPr>
          <w:rFonts w:ascii="Times New Roman" w:hAnsi="Times New Roman" w:cs="Times New Roman"/>
        </w:rPr>
        <w:t>）『現代ヨーロッパ経済』第</w:t>
      </w:r>
      <w:r w:rsidRPr="003D2124">
        <w:rPr>
          <w:rFonts w:ascii="Times New Roman" w:hAnsi="Times New Roman" w:cs="Times New Roman"/>
        </w:rPr>
        <w:t>3</w:t>
      </w:r>
      <w:r w:rsidRPr="003D2124">
        <w:rPr>
          <w:rFonts w:ascii="Times New Roman" w:hAnsi="Times New Roman" w:cs="Times New Roman"/>
        </w:rPr>
        <w:t>版、有斐閣。</w:t>
      </w:r>
    </w:p>
    <w:p w:rsidR="00576BC9" w:rsidRDefault="00576BC9" w:rsidP="00605516">
      <w:pPr>
        <w:ind w:left="210" w:hangingChars="100" w:hanging="210"/>
        <w:rPr>
          <w:rFonts w:ascii="Times New Roman" w:hAnsi="Times New Roman" w:cs="Times New Roman"/>
        </w:rPr>
      </w:pPr>
      <w:r>
        <w:rPr>
          <w:rFonts w:ascii="Times New Roman" w:hAnsi="Times New Roman" w:cs="Times New Roman" w:hint="eastAsia"/>
        </w:rPr>
        <w:t>（定期刊行物）</w:t>
      </w:r>
    </w:p>
    <w:p w:rsidR="009F52BB" w:rsidRDefault="009F52BB" w:rsidP="00605516">
      <w:pPr>
        <w:ind w:left="210" w:hangingChars="100" w:hanging="210"/>
        <w:rPr>
          <w:rFonts w:ascii="Times New Roman" w:hAnsi="Times New Roman" w:cs="Times New Roman"/>
        </w:rPr>
      </w:pPr>
      <w:r>
        <w:rPr>
          <w:rFonts w:ascii="Times New Roman" w:hAnsi="Times New Roman" w:cs="Times New Roman" w:hint="eastAsia"/>
        </w:rPr>
        <w:t xml:space="preserve">Pan-European Institute (Turku, Finland), </w:t>
      </w:r>
      <w:r w:rsidRPr="009F52BB">
        <w:rPr>
          <w:rFonts w:ascii="Times New Roman" w:hAnsi="Times New Roman" w:cs="Times New Roman" w:hint="eastAsia"/>
          <w:i/>
        </w:rPr>
        <w:t>Baltic Rim Economies</w:t>
      </w:r>
      <w:r>
        <w:rPr>
          <w:rFonts w:ascii="Times New Roman" w:hAnsi="Times New Roman" w:cs="Times New Roman" w:hint="eastAsia"/>
        </w:rPr>
        <w:t>の各号。</w:t>
      </w:r>
    </w:p>
    <w:p w:rsidR="00576BC9" w:rsidRDefault="00576BC9" w:rsidP="00605516">
      <w:pPr>
        <w:ind w:left="210" w:hangingChars="100" w:hanging="210"/>
        <w:rPr>
          <w:rFonts w:ascii="Times New Roman" w:hAnsi="Times New Roman" w:cs="Times New Roman"/>
        </w:rPr>
      </w:pPr>
      <w:r>
        <w:rPr>
          <w:rFonts w:ascii="Times New Roman" w:hAnsi="Times New Roman" w:cs="Times New Roman" w:hint="eastAsia"/>
        </w:rPr>
        <w:t xml:space="preserve">Bank of Slovenia, </w:t>
      </w:r>
      <w:r w:rsidRPr="00576BC9">
        <w:rPr>
          <w:rFonts w:ascii="Times New Roman" w:hAnsi="Times New Roman" w:cs="Times New Roman" w:hint="eastAsia"/>
          <w:i/>
        </w:rPr>
        <w:t>Annual Report</w:t>
      </w:r>
      <w:r>
        <w:rPr>
          <w:rFonts w:ascii="Times New Roman" w:hAnsi="Times New Roman" w:cs="Times New Roman" w:hint="eastAsia"/>
        </w:rPr>
        <w:t>の各号。</w:t>
      </w:r>
    </w:p>
    <w:p w:rsidR="00576BC9" w:rsidRDefault="00576BC9" w:rsidP="00605516">
      <w:pPr>
        <w:ind w:left="210" w:hangingChars="100" w:hanging="210"/>
        <w:rPr>
          <w:rFonts w:ascii="Times New Roman" w:hAnsi="Times New Roman" w:cs="Times New Roman"/>
        </w:rPr>
      </w:pPr>
      <w:r>
        <w:rPr>
          <w:rFonts w:ascii="Times New Roman" w:hAnsi="Times New Roman" w:cs="Times New Roman" w:hint="eastAsia"/>
        </w:rPr>
        <w:t xml:space="preserve">Business Monitor International, </w:t>
      </w:r>
      <w:r w:rsidRPr="00576BC9">
        <w:rPr>
          <w:rFonts w:ascii="Times New Roman" w:hAnsi="Times New Roman" w:cs="Times New Roman" w:hint="eastAsia"/>
          <w:i/>
        </w:rPr>
        <w:t>Emerging Europe Monitor: South Eastern Europe (EEM)</w:t>
      </w:r>
      <w:r>
        <w:rPr>
          <w:rFonts w:ascii="Times New Roman" w:hAnsi="Times New Roman" w:cs="Times New Roman" w:hint="eastAsia"/>
        </w:rPr>
        <w:t>の各号。</w:t>
      </w:r>
    </w:p>
    <w:p w:rsidR="00576BC9" w:rsidRPr="00576BC9" w:rsidRDefault="00576BC9" w:rsidP="00605516">
      <w:pPr>
        <w:ind w:left="210" w:hangingChars="100" w:hanging="210"/>
        <w:rPr>
          <w:rFonts w:ascii="Times New Roman" w:hAnsi="Times New Roman" w:cs="Times New Roman"/>
        </w:rPr>
      </w:pPr>
      <w:proofErr w:type="spellStart"/>
      <w:r>
        <w:rPr>
          <w:rFonts w:ascii="Times New Roman" w:hAnsi="Times New Roman" w:cs="Times New Roman" w:hint="eastAsia"/>
        </w:rPr>
        <w:t>UniCredit</w:t>
      </w:r>
      <w:proofErr w:type="spellEnd"/>
      <w:r>
        <w:rPr>
          <w:rFonts w:ascii="Times New Roman" w:hAnsi="Times New Roman" w:cs="Times New Roman" w:hint="eastAsia"/>
        </w:rPr>
        <w:t xml:space="preserve"> Group, </w:t>
      </w:r>
      <w:r w:rsidRPr="00576BC9">
        <w:rPr>
          <w:rFonts w:ascii="Times New Roman" w:hAnsi="Times New Roman" w:cs="Times New Roman" w:hint="eastAsia"/>
          <w:i/>
        </w:rPr>
        <w:t>CEE Quarterly</w:t>
      </w:r>
      <w:r>
        <w:rPr>
          <w:rFonts w:ascii="Times New Roman" w:hAnsi="Times New Roman" w:cs="Times New Roman" w:hint="eastAsia"/>
        </w:rPr>
        <w:t>の各号。</w:t>
      </w:r>
    </w:p>
    <w:sectPr w:rsidR="00576BC9" w:rsidRPr="00576BC9">
      <w:footerReference w:type="default" r:id="rId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1F6" w:rsidRDefault="00A131F6" w:rsidP="0098732C">
      <w:pPr>
        <w:spacing w:after="0"/>
      </w:pPr>
      <w:r>
        <w:separator/>
      </w:r>
    </w:p>
  </w:endnote>
  <w:endnote w:type="continuationSeparator" w:id="0">
    <w:p w:rsidR="00A131F6" w:rsidRDefault="00A131F6" w:rsidP="009873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282438"/>
      <w:docPartObj>
        <w:docPartGallery w:val="Page Numbers (Bottom of Page)"/>
        <w:docPartUnique/>
      </w:docPartObj>
    </w:sdtPr>
    <w:sdtEndPr/>
    <w:sdtContent>
      <w:p w:rsidR="009F52BB" w:rsidRDefault="009F52BB">
        <w:pPr>
          <w:pStyle w:val="a6"/>
          <w:jc w:val="center"/>
        </w:pPr>
        <w:r>
          <w:fldChar w:fldCharType="begin"/>
        </w:r>
        <w:r>
          <w:instrText>PAGE   \* MERGEFORMAT</w:instrText>
        </w:r>
        <w:r>
          <w:fldChar w:fldCharType="separate"/>
        </w:r>
        <w:r w:rsidR="00C76D72" w:rsidRPr="00C76D72">
          <w:rPr>
            <w:noProof/>
            <w:lang w:val="ja-JP"/>
          </w:rPr>
          <w:t>1</w:t>
        </w:r>
        <w:r>
          <w:fldChar w:fldCharType="end"/>
        </w:r>
      </w:p>
    </w:sdtContent>
  </w:sdt>
  <w:p w:rsidR="009F52BB" w:rsidRDefault="009F52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1F6" w:rsidRDefault="00A131F6" w:rsidP="0098732C">
      <w:pPr>
        <w:spacing w:after="0"/>
      </w:pPr>
      <w:r>
        <w:separator/>
      </w:r>
    </w:p>
  </w:footnote>
  <w:footnote w:type="continuationSeparator" w:id="0">
    <w:p w:rsidR="00A131F6" w:rsidRDefault="00A131F6" w:rsidP="0098732C">
      <w:pPr>
        <w:spacing w:after="0"/>
      </w:pPr>
      <w:r>
        <w:continuationSeparator/>
      </w:r>
    </w:p>
  </w:footnote>
  <w:footnote w:id="1">
    <w:p w:rsidR="009F52BB" w:rsidRPr="009B6B73" w:rsidRDefault="009F52BB">
      <w:pPr>
        <w:pStyle w:val="ac"/>
        <w:rPr>
          <w:sz w:val="20"/>
          <w:szCs w:val="20"/>
        </w:rPr>
      </w:pPr>
      <w:r w:rsidRPr="009B6B73">
        <w:rPr>
          <w:rStyle w:val="ae"/>
          <w:sz w:val="20"/>
          <w:szCs w:val="20"/>
        </w:rPr>
        <w:footnoteRef/>
      </w:r>
      <w:r w:rsidRPr="009B6B73">
        <w:rPr>
          <w:sz w:val="20"/>
          <w:szCs w:val="20"/>
        </w:rPr>
        <w:t xml:space="preserve"> </w:t>
      </w:r>
      <w:r w:rsidRPr="009B6B73">
        <w:rPr>
          <w:rFonts w:hint="eastAsia"/>
          <w:sz w:val="20"/>
          <w:szCs w:val="20"/>
        </w:rPr>
        <w:t>堀林（</w:t>
      </w:r>
      <w:r w:rsidRPr="009B6B73">
        <w:rPr>
          <w:rFonts w:hint="eastAsia"/>
          <w:sz w:val="20"/>
          <w:szCs w:val="20"/>
        </w:rPr>
        <w:t>2014</w:t>
      </w:r>
      <w:r w:rsidRPr="009B6B73">
        <w:rPr>
          <w:rFonts w:hint="eastAsia"/>
          <w:sz w:val="20"/>
          <w:szCs w:val="20"/>
        </w:rPr>
        <w:t>）はこれらのほかに、ヴィシェグラード諸国（ポーランド、ハンガリー、チェコ、スロヴァキア）を「国家が作り出した埋め込まれた新自由主義」、そしてロシア、カザフスタン、アゼルバイジャンなどを「市場によって形成された純粋な新自由主義」と呼んでいる。</w:t>
      </w:r>
    </w:p>
  </w:footnote>
  <w:footnote w:id="2">
    <w:p w:rsidR="009F52BB" w:rsidRPr="009B6B73" w:rsidRDefault="009F52BB">
      <w:pPr>
        <w:pStyle w:val="ac"/>
        <w:rPr>
          <w:rFonts w:ascii="Times New Roman" w:hAnsi="Times New Roman" w:cs="Times New Roman"/>
          <w:sz w:val="20"/>
          <w:szCs w:val="20"/>
        </w:rPr>
      </w:pPr>
      <w:r w:rsidRPr="009B6B73">
        <w:rPr>
          <w:rStyle w:val="ae"/>
          <w:sz w:val="20"/>
          <w:szCs w:val="20"/>
        </w:rPr>
        <w:footnoteRef/>
      </w:r>
      <w:r w:rsidRPr="009B6B73">
        <w:rPr>
          <w:sz w:val="20"/>
          <w:szCs w:val="20"/>
        </w:rPr>
        <w:t xml:space="preserve"> </w:t>
      </w:r>
      <w:r w:rsidRPr="009B6B73">
        <w:rPr>
          <w:rFonts w:ascii="Times New Roman" w:hAnsi="Times New Roman" w:cs="Times New Roman"/>
          <w:sz w:val="20"/>
          <w:szCs w:val="20"/>
        </w:rPr>
        <w:t>この表現は</w:t>
      </w:r>
      <w:r w:rsidRPr="009B6B73">
        <w:rPr>
          <w:rFonts w:ascii="Times New Roman" w:hAnsi="Times New Roman" w:cs="Times New Roman"/>
          <w:sz w:val="20"/>
          <w:szCs w:val="20"/>
        </w:rPr>
        <w:t>Rahman (2008)</w:t>
      </w:r>
      <w:r w:rsidRPr="009B6B73">
        <w:rPr>
          <w:rFonts w:ascii="Times New Roman" w:hAnsi="Times New Roman" w:cs="Times New Roman"/>
          <w:sz w:val="20"/>
          <w:szCs w:val="20"/>
        </w:rPr>
        <w:t>の表題から得た。</w:t>
      </w:r>
    </w:p>
  </w:footnote>
  <w:footnote w:id="3">
    <w:p w:rsidR="009F52BB" w:rsidRPr="00694B35" w:rsidRDefault="009F52BB">
      <w:pPr>
        <w:pStyle w:val="ac"/>
      </w:pPr>
      <w:r w:rsidRPr="009B6B73">
        <w:rPr>
          <w:rStyle w:val="ae"/>
          <w:rFonts w:ascii="Times New Roman" w:hAnsi="Times New Roman" w:cs="Times New Roman"/>
          <w:sz w:val="20"/>
          <w:szCs w:val="20"/>
        </w:rPr>
        <w:footnoteRef/>
      </w:r>
      <w:r w:rsidRPr="009B6B73">
        <w:rPr>
          <w:rFonts w:ascii="Times New Roman" w:hAnsi="Times New Roman" w:cs="Times New Roman"/>
          <w:sz w:val="20"/>
          <w:szCs w:val="20"/>
        </w:rPr>
        <w:t xml:space="preserve"> </w:t>
      </w:r>
      <w:r w:rsidRPr="009B6B73">
        <w:rPr>
          <w:rFonts w:ascii="Times New Roman" w:hAnsi="Times New Roman" w:cs="Times New Roman"/>
          <w:sz w:val="20"/>
          <w:szCs w:val="20"/>
        </w:rPr>
        <w:t>本稿は小山（</w:t>
      </w:r>
      <w:r w:rsidRPr="009B6B73">
        <w:rPr>
          <w:rFonts w:ascii="Times New Roman" w:hAnsi="Times New Roman" w:cs="Times New Roman"/>
          <w:sz w:val="20"/>
          <w:szCs w:val="20"/>
        </w:rPr>
        <w:t>2010</w:t>
      </w:r>
      <w:r w:rsidRPr="009B6B73">
        <w:rPr>
          <w:rFonts w:ascii="Times New Roman" w:hAnsi="Times New Roman" w:cs="Times New Roman"/>
          <w:sz w:val="20"/>
          <w:szCs w:val="20"/>
        </w:rPr>
        <w:t>）</w:t>
      </w:r>
      <w:r w:rsidRPr="009B6B73">
        <w:rPr>
          <w:rFonts w:ascii="Times New Roman" w:hAnsi="Times New Roman" w:cs="Times New Roman"/>
          <w:sz w:val="20"/>
          <w:szCs w:val="20"/>
        </w:rPr>
        <w:t>と小山（</w:t>
      </w:r>
      <w:r w:rsidRPr="009B6B73">
        <w:rPr>
          <w:rFonts w:ascii="Times New Roman" w:hAnsi="Times New Roman" w:cs="Times New Roman"/>
          <w:sz w:val="20"/>
          <w:szCs w:val="20"/>
        </w:rPr>
        <w:t>2014a</w:t>
      </w:r>
      <w:r w:rsidRPr="009B6B73">
        <w:rPr>
          <w:rFonts w:ascii="Times New Roman" w:hAnsi="Times New Roman" w:cs="Times New Roman"/>
          <w:sz w:val="20"/>
          <w:szCs w:val="20"/>
        </w:rPr>
        <w:t>）をまとめて、再構成したものである。</w:t>
      </w:r>
    </w:p>
  </w:footnote>
  <w:footnote w:id="4">
    <w:p w:rsidR="009F52BB" w:rsidRPr="006308D0" w:rsidRDefault="009F52BB">
      <w:pPr>
        <w:pStyle w:val="ac"/>
        <w:rPr>
          <w:rFonts w:ascii="Times New Roman" w:hAnsi="Times New Roman" w:cs="Times New Roman"/>
          <w:sz w:val="20"/>
          <w:szCs w:val="20"/>
        </w:rPr>
      </w:pPr>
      <w:r w:rsidRPr="006308D0">
        <w:rPr>
          <w:rStyle w:val="ae"/>
          <w:sz w:val="20"/>
          <w:szCs w:val="20"/>
        </w:rPr>
        <w:footnoteRef/>
      </w:r>
      <w:r w:rsidRPr="006308D0">
        <w:rPr>
          <w:sz w:val="20"/>
          <w:szCs w:val="20"/>
        </w:rPr>
        <w:t xml:space="preserve"> </w:t>
      </w:r>
      <w:r w:rsidRPr="006308D0">
        <w:rPr>
          <w:rFonts w:ascii="Times New Roman" w:hAnsi="Times New Roman" w:cs="Times New Roman"/>
          <w:sz w:val="20"/>
          <w:szCs w:val="20"/>
        </w:rPr>
        <w:t>2009</w:t>
      </w:r>
      <w:r w:rsidRPr="006308D0">
        <w:rPr>
          <w:rFonts w:ascii="Times New Roman" w:hAnsi="Times New Roman" w:cs="Times New Roman"/>
          <w:sz w:val="20"/>
          <w:szCs w:val="20"/>
        </w:rPr>
        <w:t>年</w:t>
      </w:r>
      <w:r w:rsidRPr="006308D0">
        <w:rPr>
          <w:rFonts w:ascii="Times New Roman" w:hAnsi="Times New Roman" w:cs="Times New Roman"/>
          <w:sz w:val="20"/>
          <w:szCs w:val="20"/>
        </w:rPr>
        <w:t>5</w:t>
      </w:r>
      <w:r w:rsidRPr="006308D0">
        <w:rPr>
          <w:rFonts w:ascii="Times New Roman" w:hAnsi="Times New Roman" w:cs="Times New Roman"/>
          <w:sz w:val="20"/>
          <w:szCs w:val="20"/>
        </w:rPr>
        <w:t>月末のインタビューで</w:t>
      </w:r>
      <w:r w:rsidRPr="006308D0">
        <w:rPr>
          <w:rFonts w:ascii="Times New Roman" w:hAnsi="Times New Roman" w:cs="Times New Roman"/>
          <w:sz w:val="20"/>
          <w:szCs w:val="20"/>
        </w:rPr>
        <w:t>IMF</w:t>
      </w:r>
      <w:r w:rsidRPr="006308D0">
        <w:rPr>
          <w:rFonts w:ascii="Times New Roman" w:hAnsi="Times New Roman" w:cs="Times New Roman"/>
          <w:sz w:val="20"/>
          <w:szCs w:val="20"/>
        </w:rPr>
        <w:t>スタッフは、「</w:t>
      </w:r>
      <w:r w:rsidRPr="006308D0">
        <w:rPr>
          <w:rFonts w:ascii="Times New Roman" w:hAnsi="Times New Roman" w:cs="Times New Roman"/>
          <w:sz w:val="20"/>
          <w:szCs w:val="20"/>
        </w:rPr>
        <w:t>2005</w:t>
      </w:r>
      <w:r w:rsidRPr="006308D0">
        <w:rPr>
          <w:rFonts w:ascii="Times New Roman" w:hAnsi="Times New Roman" w:cs="Times New Roman"/>
          <w:sz w:val="20"/>
          <w:szCs w:val="20"/>
        </w:rPr>
        <w:t>年にはわれわれはこの経済が過熱の危険にあると公に警告した」（</w:t>
      </w:r>
      <w:r w:rsidRPr="006308D0">
        <w:rPr>
          <w:rFonts w:ascii="Times New Roman" w:hAnsi="Times New Roman" w:cs="Times New Roman"/>
          <w:sz w:val="20"/>
          <w:szCs w:val="20"/>
        </w:rPr>
        <w:t>Andersen, 2009</w:t>
      </w:r>
      <w:r w:rsidRPr="006308D0">
        <w:rPr>
          <w:rFonts w:ascii="Times New Roman" w:hAnsi="Times New Roman" w:cs="Times New Roman"/>
          <w:sz w:val="20"/>
          <w:szCs w:val="20"/>
        </w:rPr>
        <w:t>）と述べた</w:t>
      </w:r>
      <w:r w:rsidR="007E2086">
        <w:rPr>
          <w:rFonts w:ascii="Times New Roman" w:hAnsi="Times New Roman" w:cs="Times New Roman" w:hint="eastAsia"/>
          <w:sz w:val="20"/>
          <w:szCs w:val="20"/>
        </w:rPr>
        <w:t>と言われる</w:t>
      </w:r>
      <w:r w:rsidRPr="006308D0">
        <w:rPr>
          <w:rFonts w:ascii="Times New Roman" w:hAnsi="Times New Roman" w:cs="Times New Roman"/>
          <w:sz w:val="20"/>
          <w:szCs w:val="20"/>
        </w:rPr>
        <w:t>。『新興欧州経済モニター』や</w:t>
      </w:r>
      <w:proofErr w:type="spellStart"/>
      <w:r w:rsidRPr="006308D0">
        <w:rPr>
          <w:rFonts w:ascii="Times New Roman" w:hAnsi="Times New Roman" w:cs="Times New Roman"/>
          <w:sz w:val="20"/>
          <w:szCs w:val="20"/>
        </w:rPr>
        <w:t>UniCredit</w:t>
      </w:r>
      <w:proofErr w:type="spellEnd"/>
      <w:r w:rsidRPr="006308D0">
        <w:rPr>
          <w:rFonts w:ascii="Times New Roman" w:hAnsi="Times New Roman" w:cs="Times New Roman"/>
          <w:sz w:val="20"/>
          <w:szCs w:val="20"/>
        </w:rPr>
        <w:t>グループの</w:t>
      </w:r>
      <w:r w:rsidRPr="006308D0">
        <w:rPr>
          <w:rFonts w:ascii="Times New Roman" w:hAnsi="Times New Roman" w:cs="Times New Roman"/>
          <w:sz w:val="20"/>
          <w:szCs w:val="20"/>
        </w:rPr>
        <w:t>CEE Quarterly</w:t>
      </w:r>
      <w:r w:rsidRPr="006308D0">
        <w:rPr>
          <w:rFonts w:ascii="Times New Roman" w:hAnsi="Times New Roman" w:cs="Times New Roman"/>
          <w:sz w:val="20"/>
          <w:szCs w:val="20"/>
        </w:rPr>
        <w:t>は</w:t>
      </w:r>
      <w:r w:rsidRPr="006308D0">
        <w:rPr>
          <w:rFonts w:ascii="Times New Roman" w:hAnsi="Times New Roman" w:cs="Times New Roman"/>
          <w:sz w:val="20"/>
          <w:szCs w:val="20"/>
        </w:rPr>
        <w:t>2007</w:t>
      </w:r>
      <w:r w:rsidRPr="006308D0">
        <w:rPr>
          <w:rFonts w:ascii="Times New Roman" w:hAnsi="Times New Roman" w:cs="Times New Roman"/>
          <w:sz w:val="20"/>
          <w:szCs w:val="20"/>
        </w:rPr>
        <w:t>年に、穏やかな経済成長へのソフト・ランディングの必要性をしきりに説いていた。</w:t>
      </w:r>
    </w:p>
  </w:footnote>
  <w:footnote w:id="5">
    <w:p w:rsidR="009F52BB" w:rsidRPr="006308D0" w:rsidRDefault="009F52BB">
      <w:pPr>
        <w:pStyle w:val="ac"/>
        <w:rPr>
          <w:sz w:val="20"/>
          <w:szCs w:val="20"/>
        </w:rPr>
      </w:pPr>
      <w:r w:rsidRPr="006308D0">
        <w:rPr>
          <w:rStyle w:val="ae"/>
          <w:sz w:val="20"/>
          <w:szCs w:val="20"/>
        </w:rPr>
        <w:footnoteRef/>
      </w:r>
      <w:r w:rsidRPr="006308D0">
        <w:rPr>
          <w:sz w:val="20"/>
          <w:szCs w:val="20"/>
        </w:rPr>
        <w:t xml:space="preserve"> </w:t>
      </w:r>
      <w:r w:rsidRPr="006308D0">
        <w:rPr>
          <w:rFonts w:ascii="Times New Roman" w:hAnsi="Times New Roman" w:cs="Times New Roman"/>
          <w:sz w:val="20"/>
          <w:szCs w:val="20"/>
        </w:rPr>
        <w:t>IMF</w:t>
      </w:r>
      <w:r w:rsidRPr="006308D0">
        <w:rPr>
          <w:rFonts w:ascii="Times New Roman" w:hAnsi="Times New Roman" w:cs="Times New Roman"/>
          <w:sz w:val="20"/>
          <w:szCs w:val="20"/>
        </w:rPr>
        <w:t>の中欧・バルト地域担当上級代表のクリストファー・ローゼンバーグ氏は、「銀行は外国で自分自身にリファイナンスし、通貨リスクを自分たちの顧客に移した」と述べている（</w:t>
      </w:r>
      <w:r w:rsidRPr="006308D0">
        <w:rPr>
          <w:rFonts w:ascii="Times New Roman" w:hAnsi="Times New Roman" w:cs="Times New Roman"/>
          <w:sz w:val="20"/>
          <w:szCs w:val="20"/>
        </w:rPr>
        <w:t>Rosenberg, 2009</w:t>
      </w:r>
      <w:r w:rsidRPr="006308D0">
        <w:rPr>
          <w:rFonts w:ascii="Times New Roman" w:hAnsi="Times New Roman" w:cs="Times New Roman"/>
          <w:sz w:val="20"/>
          <w:szCs w:val="20"/>
        </w:rPr>
        <w:t>）。</w:t>
      </w:r>
    </w:p>
  </w:footnote>
  <w:footnote w:id="6">
    <w:p w:rsidR="009F52BB" w:rsidRPr="006308D0" w:rsidRDefault="009F52BB">
      <w:pPr>
        <w:pStyle w:val="ac"/>
        <w:rPr>
          <w:rFonts w:ascii="Times New Roman" w:hAnsi="Times New Roman" w:cs="Times New Roman"/>
          <w:sz w:val="20"/>
          <w:szCs w:val="20"/>
        </w:rPr>
      </w:pPr>
      <w:r w:rsidRPr="006308D0">
        <w:rPr>
          <w:rStyle w:val="ae"/>
          <w:sz w:val="20"/>
          <w:szCs w:val="20"/>
        </w:rPr>
        <w:footnoteRef/>
      </w:r>
      <w:r w:rsidRPr="006308D0">
        <w:rPr>
          <w:rFonts w:ascii="Times New Roman" w:hAnsi="Times New Roman" w:cs="Times New Roman"/>
          <w:sz w:val="20"/>
          <w:szCs w:val="20"/>
        </w:rPr>
        <w:t xml:space="preserve"> </w:t>
      </w:r>
      <w:r w:rsidRPr="006308D0">
        <w:rPr>
          <w:rFonts w:ascii="Times New Roman" w:hAnsi="Times New Roman" w:cs="Times New Roman"/>
          <w:sz w:val="20"/>
          <w:szCs w:val="20"/>
        </w:rPr>
        <w:t>銀行は非常に安易に貸付けをし、「若干の銀行は</w:t>
      </w:r>
      <w:r w:rsidRPr="006308D0">
        <w:rPr>
          <w:rFonts w:ascii="Times New Roman" w:hAnsi="Times New Roman" w:cs="Times New Roman"/>
          <w:sz w:val="20"/>
          <w:szCs w:val="20"/>
        </w:rPr>
        <w:t>100</w:t>
      </w:r>
      <w:r w:rsidRPr="006308D0">
        <w:rPr>
          <w:rFonts w:ascii="Times New Roman" w:hAnsi="Times New Roman" w:cs="Times New Roman"/>
          <w:sz w:val="20"/>
          <w:szCs w:val="20"/>
        </w:rPr>
        <w:t>％を超える</w:t>
      </w:r>
      <w:r w:rsidRPr="006308D0">
        <w:rPr>
          <w:rFonts w:ascii="Times New Roman" w:hAnsi="Times New Roman" w:cs="Times New Roman"/>
          <w:sz w:val="20"/>
          <w:szCs w:val="20"/>
        </w:rPr>
        <w:t>Loan to Value ratio</w:t>
      </w:r>
      <w:r w:rsidRPr="006308D0">
        <w:rPr>
          <w:rFonts w:ascii="Times New Roman" w:hAnsi="Times New Roman" w:cs="Times New Roman"/>
          <w:sz w:val="20"/>
          <w:szCs w:val="20"/>
        </w:rPr>
        <w:t>で住宅ローンを提供」したという。</w:t>
      </w:r>
      <w:r w:rsidRPr="006308D0">
        <w:rPr>
          <w:rFonts w:ascii="Times New Roman" w:hAnsi="Times New Roman" w:cs="Times New Roman"/>
          <w:sz w:val="20"/>
          <w:szCs w:val="20"/>
        </w:rPr>
        <w:t>IMF (2006c, Chapter III, Box 1)</w:t>
      </w:r>
      <w:r w:rsidRPr="006308D0">
        <w:rPr>
          <w:rFonts w:ascii="Times New Roman" w:hAnsi="Times New Roman" w:cs="Times New Roman"/>
          <w:sz w:val="20"/>
          <w:szCs w:val="20"/>
        </w:rPr>
        <w:t>。</w:t>
      </w:r>
    </w:p>
  </w:footnote>
  <w:footnote w:id="7">
    <w:p w:rsidR="009F52BB" w:rsidRPr="006308D0" w:rsidRDefault="009F52BB">
      <w:pPr>
        <w:pStyle w:val="ac"/>
        <w:rPr>
          <w:rFonts w:ascii="Times New Roman" w:hAnsi="Times New Roman" w:cs="Times New Roman"/>
          <w:sz w:val="20"/>
          <w:szCs w:val="20"/>
        </w:rPr>
      </w:pPr>
      <w:r w:rsidRPr="006308D0">
        <w:rPr>
          <w:rStyle w:val="ae"/>
          <w:sz w:val="20"/>
          <w:szCs w:val="20"/>
        </w:rPr>
        <w:footnoteRef/>
      </w:r>
      <w:r w:rsidRPr="006308D0">
        <w:rPr>
          <w:sz w:val="20"/>
          <w:szCs w:val="20"/>
        </w:rPr>
        <w:t xml:space="preserve"> </w:t>
      </w:r>
      <w:r w:rsidRPr="006308D0">
        <w:rPr>
          <w:rFonts w:ascii="Times New Roman" w:hAnsi="Times New Roman" w:cs="Times New Roman"/>
          <w:sz w:val="20"/>
          <w:szCs w:val="20"/>
        </w:rPr>
        <w:t>ストックホルム証券取引所理事長</w:t>
      </w:r>
      <w:r w:rsidRPr="006308D0">
        <w:rPr>
          <w:rFonts w:ascii="Times New Roman" w:hAnsi="Times New Roman" w:cs="Times New Roman"/>
          <w:sz w:val="20"/>
          <w:szCs w:val="20"/>
        </w:rPr>
        <w:t xml:space="preserve">Leif </w:t>
      </w:r>
      <w:proofErr w:type="spellStart"/>
      <w:r w:rsidRPr="006308D0">
        <w:rPr>
          <w:rFonts w:ascii="Times New Roman" w:hAnsi="Times New Roman" w:cs="Times New Roman"/>
          <w:sz w:val="20"/>
          <w:szCs w:val="20"/>
        </w:rPr>
        <w:t>Videvag</w:t>
      </w:r>
      <w:proofErr w:type="spellEnd"/>
      <w:r w:rsidRPr="006308D0">
        <w:rPr>
          <w:rFonts w:ascii="Times New Roman" w:hAnsi="Times New Roman" w:cs="Times New Roman"/>
          <w:sz w:val="20"/>
          <w:szCs w:val="20"/>
        </w:rPr>
        <w:t>氏からの</w:t>
      </w:r>
      <w:r w:rsidRPr="006308D0">
        <w:rPr>
          <w:rFonts w:ascii="Times New Roman" w:hAnsi="Times New Roman" w:cs="Times New Roman"/>
          <w:sz w:val="20"/>
          <w:szCs w:val="20"/>
        </w:rPr>
        <w:t>e-mail</w:t>
      </w:r>
      <w:r w:rsidRPr="006308D0">
        <w:rPr>
          <w:rFonts w:ascii="Times New Roman" w:hAnsi="Times New Roman" w:cs="Times New Roman"/>
          <w:sz w:val="20"/>
          <w:szCs w:val="20"/>
        </w:rPr>
        <w:t>（</w:t>
      </w:r>
      <w:r w:rsidRPr="006308D0">
        <w:rPr>
          <w:rFonts w:ascii="Times New Roman" w:hAnsi="Times New Roman" w:cs="Times New Roman"/>
          <w:sz w:val="20"/>
          <w:szCs w:val="20"/>
        </w:rPr>
        <w:t>2009</w:t>
      </w:r>
      <w:r w:rsidRPr="006308D0">
        <w:rPr>
          <w:rFonts w:ascii="Times New Roman" w:hAnsi="Times New Roman" w:cs="Times New Roman"/>
          <w:sz w:val="20"/>
          <w:szCs w:val="20"/>
        </w:rPr>
        <w:t>年</w:t>
      </w:r>
      <w:r w:rsidRPr="006308D0">
        <w:rPr>
          <w:rFonts w:ascii="Times New Roman" w:hAnsi="Times New Roman" w:cs="Times New Roman"/>
          <w:sz w:val="20"/>
          <w:szCs w:val="20"/>
        </w:rPr>
        <w:t>8</w:t>
      </w:r>
      <w:r w:rsidRPr="006308D0">
        <w:rPr>
          <w:rFonts w:ascii="Times New Roman" w:hAnsi="Times New Roman" w:cs="Times New Roman"/>
          <w:sz w:val="20"/>
          <w:szCs w:val="20"/>
        </w:rPr>
        <w:t>月</w:t>
      </w:r>
      <w:r w:rsidRPr="006308D0">
        <w:rPr>
          <w:rFonts w:ascii="Times New Roman" w:hAnsi="Times New Roman" w:cs="Times New Roman"/>
          <w:sz w:val="20"/>
          <w:szCs w:val="20"/>
        </w:rPr>
        <w:t>13</w:t>
      </w:r>
      <w:r w:rsidRPr="006308D0">
        <w:rPr>
          <w:rFonts w:ascii="Times New Roman" w:hAnsi="Times New Roman" w:cs="Times New Roman"/>
          <w:sz w:val="20"/>
          <w:szCs w:val="20"/>
        </w:rPr>
        <w:t>日）。</w:t>
      </w:r>
    </w:p>
  </w:footnote>
  <w:footnote w:id="8">
    <w:p w:rsidR="009F52BB" w:rsidRPr="00D239E4" w:rsidRDefault="009F52BB" w:rsidP="00E471FE">
      <w:pPr>
        <w:pStyle w:val="ac"/>
      </w:pPr>
      <w:r w:rsidRPr="006308D0">
        <w:rPr>
          <w:rStyle w:val="ae"/>
          <w:sz w:val="20"/>
          <w:szCs w:val="20"/>
        </w:rPr>
        <w:footnoteRef/>
      </w:r>
      <w:r w:rsidRPr="006308D0">
        <w:rPr>
          <w:sz w:val="20"/>
          <w:szCs w:val="20"/>
        </w:rPr>
        <w:t xml:space="preserve"> </w:t>
      </w:r>
      <w:r w:rsidRPr="006308D0">
        <w:rPr>
          <w:rFonts w:ascii="Times New Roman" w:hAnsi="Times New Roman" w:cs="Times New Roman"/>
          <w:sz w:val="20"/>
          <w:szCs w:val="20"/>
        </w:rPr>
        <w:t>IMF</w:t>
      </w:r>
      <w:r w:rsidRPr="006308D0">
        <w:rPr>
          <w:rFonts w:ascii="Times New Roman" w:hAnsi="Times New Roman" w:cs="Times New Roman"/>
          <w:sz w:val="20"/>
          <w:szCs w:val="20"/>
        </w:rPr>
        <w:t>も同様の指摘をしている（</w:t>
      </w:r>
      <w:r w:rsidRPr="006308D0">
        <w:rPr>
          <w:rFonts w:ascii="Times New Roman" w:hAnsi="Times New Roman" w:cs="Times New Roman"/>
          <w:sz w:val="20"/>
          <w:szCs w:val="20"/>
        </w:rPr>
        <w:t>IMF, 2006b</w:t>
      </w:r>
      <w:r w:rsidRPr="006308D0">
        <w:rPr>
          <w:rFonts w:ascii="Times New Roman" w:hAnsi="Times New Roman" w:cs="Times New Roman"/>
          <w:sz w:val="20"/>
          <w:szCs w:val="20"/>
        </w:rPr>
        <w:t>）。</w:t>
      </w:r>
    </w:p>
  </w:footnote>
  <w:footnote w:id="9">
    <w:p w:rsidR="009F52BB" w:rsidRPr="006308D0" w:rsidRDefault="009F52BB">
      <w:pPr>
        <w:pStyle w:val="ac"/>
        <w:rPr>
          <w:sz w:val="20"/>
          <w:szCs w:val="20"/>
        </w:rPr>
      </w:pPr>
      <w:r w:rsidRPr="006308D0">
        <w:rPr>
          <w:rStyle w:val="ae"/>
          <w:sz w:val="20"/>
          <w:szCs w:val="20"/>
        </w:rPr>
        <w:footnoteRef/>
      </w:r>
      <w:r w:rsidRPr="006308D0">
        <w:rPr>
          <w:sz w:val="20"/>
          <w:szCs w:val="20"/>
        </w:rPr>
        <w:t xml:space="preserve"> </w:t>
      </w:r>
      <w:r w:rsidRPr="006308D0">
        <w:rPr>
          <w:rFonts w:hint="eastAsia"/>
          <w:sz w:val="20"/>
          <w:szCs w:val="20"/>
        </w:rPr>
        <w:t>パレックス銀行は</w:t>
      </w:r>
      <w:r w:rsidRPr="006308D0">
        <w:rPr>
          <w:rFonts w:hint="eastAsia"/>
          <w:sz w:val="20"/>
          <w:szCs w:val="20"/>
        </w:rPr>
        <w:t>1990</w:t>
      </w:r>
      <w:r w:rsidRPr="006308D0">
        <w:rPr>
          <w:rFonts w:hint="eastAsia"/>
          <w:sz w:val="20"/>
          <w:szCs w:val="20"/>
        </w:rPr>
        <w:t>年代初め、ロシア系ラトヴィア人が両替商から初めて銀行にしたものである。</w:t>
      </w:r>
    </w:p>
  </w:footnote>
  <w:footnote w:id="10">
    <w:p w:rsidR="009F52BB" w:rsidRPr="006308D0" w:rsidRDefault="009F52BB" w:rsidP="0023389B">
      <w:pPr>
        <w:pStyle w:val="ac"/>
        <w:jc w:val="both"/>
        <w:rPr>
          <w:sz w:val="20"/>
          <w:szCs w:val="20"/>
        </w:rPr>
      </w:pPr>
      <w:r w:rsidRPr="006308D0">
        <w:rPr>
          <w:rStyle w:val="ae"/>
          <w:sz w:val="20"/>
          <w:szCs w:val="20"/>
        </w:rPr>
        <w:footnoteRef/>
      </w:r>
      <w:r w:rsidRPr="006308D0">
        <w:rPr>
          <w:rFonts w:ascii="Times New Roman" w:hAnsi="Times New Roman" w:cs="Times New Roman"/>
          <w:sz w:val="20"/>
          <w:szCs w:val="20"/>
        </w:rPr>
        <w:t xml:space="preserve"> Bank of Latvia (2010)</w:t>
      </w:r>
      <w:r w:rsidRPr="006308D0">
        <w:rPr>
          <w:rFonts w:ascii="Times New Roman" w:hAnsi="Times New Roman" w:cs="Times New Roman"/>
          <w:sz w:val="20"/>
          <w:szCs w:val="20"/>
        </w:rPr>
        <w:t>によると、</w:t>
      </w:r>
      <w:r w:rsidRPr="006308D0">
        <w:rPr>
          <w:rFonts w:ascii="Times New Roman" w:hAnsi="Times New Roman" w:cs="Times New Roman"/>
          <w:sz w:val="20"/>
          <w:szCs w:val="20"/>
        </w:rPr>
        <w:t>2009</w:t>
      </w:r>
      <w:r w:rsidRPr="006308D0">
        <w:rPr>
          <w:rFonts w:ascii="Times New Roman" w:hAnsi="Times New Roman" w:cs="Times New Roman"/>
          <w:sz w:val="20"/>
          <w:szCs w:val="20"/>
        </w:rPr>
        <w:t>年の経常収支は前年の対</w:t>
      </w:r>
      <w:r w:rsidRPr="006308D0">
        <w:rPr>
          <w:rFonts w:ascii="Times New Roman" w:hAnsi="Times New Roman" w:cs="Times New Roman"/>
          <w:sz w:val="20"/>
          <w:szCs w:val="20"/>
        </w:rPr>
        <w:t>GDP</w:t>
      </w:r>
      <w:r w:rsidRPr="006308D0">
        <w:rPr>
          <w:rFonts w:ascii="Times New Roman" w:hAnsi="Times New Roman" w:cs="Times New Roman"/>
          <w:sz w:val="20"/>
          <w:szCs w:val="20"/>
        </w:rPr>
        <w:t>比</w:t>
      </w:r>
      <w:r w:rsidRPr="006308D0">
        <w:rPr>
          <w:rFonts w:ascii="Times New Roman" w:hAnsi="Times New Roman" w:cs="Times New Roman"/>
          <w:sz w:val="20"/>
          <w:szCs w:val="20"/>
        </w:rPr>
        <w:t>12.6</w:t>
      </w:r>
      <w:r w:rsidRPr="006308D0">
        <w:rPr>
          <w:rFonts w:ascii="Times New Roman" w:hAnsi="Times New Roman" w:cs="Times New Roman"/>
          <w:sz w:val="20"/>
          <w:szCs w:val="20"/>
        </w:rPr>
        <w:t>％の赤字から一転して黒字（</w:t>
      </w:r>
      <w:r w:rsidRPr="006308D0">
        <w:rPr>
          <w:rFonts w:ascii="Times New Roman" w:hAnsi="Times New Roman" w:cs="Times New Roman"/>
          <w:sz w:val="20"/>
          <w:szCs w:val="20"/>
        </w:rPr>
        <w:t>GDP</w:t>
      </w:r>
      <w:r w:rsidRPr="006308D0">
        <w:rPr>
          <w:rFonts w:ascii="Times New Roman" w:hAnsi="Times New Roman" w:cs="Times New Roman"/>
          <w:sz w:val="20"/>
          <w:szCs w:val="20"/>
        </w:rPr>
        <w:t>の</w:t>
      </w:r>
      <w:r w:rsidRPr="006308D0">
        <w:rPr>
          <w:rFonts w:ascii="Times New Roman" w:hAnsi="Times New Roman" w:cs="Times New Roman"/>
          <w:sz w:val="20"/>
          <w:szCs w:val="20"/>
        </w:rPr>
        <w:t>8.6</w:t>
      </w:r>
      <w:r w:rsidRPr="006308D0">
        <w:rPr>
          <w:rFonts w:ascii="Times New Roman" w:hAnsi="Times New Roman" w:cs="Times New Roman"/>
          <w:sz w:val="20"/>
          <w:szCs w:val="20"/>
        </w:rPr>
        <w:t>％）に転じた。見たところ、これは驚くべき数字である。だが、</w:t>
      </w:r>
      <w:r w:rsidRPr="006308D0">
        <w:rPr>
          <w:rFonts w:ascii="Times New Roman" w:hAnsi="Times New Roman" w:cs="Times New Roman"/>
          <w:sz w:val="20"/>
          <w:szCs w:val="20"/>
        </w:rPr>
        <w:t>2009</w:t>
      </w:r>
      <w:r w:rsidRPr="006308D0">
        <w:rPr>
          <w:rFonts w:ascii="Times New Roman" w:hAnsi="Times New Roman" w:cs="Times New Roman"/>
          <w:sz w:val="20"/>
          <w:szCs w:val="20"/>
        </w:rPr>
        <w:t>年に</w:t>
      </w:r>
      <w:r w:rsidRPr="006308D0">
        <w:rPr>
          <w:rFonts w:ascii="Times New Roman" w:hAnsi="Times New Roman" w:cs="Times New Roman"/>
          <w:sz w:val="20"/>
          <w:szCs w:val="20"/>
        </w:rPr>
        <w:t>FDI</w:t>
      </w:r>
      <w:r w:rsidRPr="006308D0">
        <w:rPr>
          <w:rFonts w:ascii="Times New Roman" w:hAnsi="Times New Roman" w:cs="Times New Roman"/>
          <w:sz w:val="20"/>
          <w:szCs w:val="20"/>
        </w:rPr>
        <w:t>流入が劇的に減少し、ポートフォリオ投資がほんのわずかしか増加しなかったのに、貿易赤字が対</w:t>
      </w:r>
      <w:r w:rsidRPr="006308D0">
        <w:rPr>
          <w:rFonts w:ascii="Times New Roman" w:hAnsi="Times New Roman" w:cs="Times New Roman"/>
          <w:sz w:val="20"/>
          <w:szCs w:val="20"/>
        </w:rPr>
        <w:t>GDP</w:t>
      </w:r>
      <w:r w:rsidRPr="006308D0">
        <w:rPr>
          <w:rFonts w:ascii="Times New Roman" w:hAnsi="Times New Roman" w:cs="Times New Roman"/>
          <w:sz w:val="20"/>
          <w:szCs w:val="20"/>
        </w:rPr>
        <w:t>比</w:t>
      </w:r>
      <w:r w:rsidRPr="006308D0">
        <w:rPr>
          <w:rFonts w:ascii="Times New Roman" w:hAnsi="Times New Roman" w:cs="Times New Roman"/>
          <w:sz w:val="20"/>
          <w:szCs w:val="20"/>
        </w:rPr>
        <w:t>-0.3</w:t>
      </w:r>
      <w:r w:rsidRPr="006308D0">
        <w:rPr>
          <w:rFonts w:ascii="Times New Roman" w:hAnsi="Times New Roman" w:cs="Times New Roman"/>
          <w:sz w:val="20"/>
          <w:szCs w:val="20"/>
        </w:rPr>
        <w:t>％へと劇的に減少し、所得収支と経常移転がそれぞれ対</w:t>
      </w:r>
      <w:r w:rsidRPr="006308D0">
        <w:rPr>
          <w:rFonts w:ascii="Times New Roman" w:hAnsi="Times New Roman" w:cs="Times New Roman"/>
          <w:sz w:val="20"/>
          <w:szCs w:val="20"/>
        </w:rPr>
        <w:t>GDP</w:t>
      </w:r>
      <w:r w:rsidRPr="006308D0">
        <w:rPr>
          <w:rFonts w:ascii="Times New Roman" w:hAnsi="Times New Roman" w:cs="Times New Roman"/>
          <w:sz w:val="20"/>
          <w:szCs w:val="20"/>
        </w:rPr>
        <w:t>比</w:t>
      </w:r>
      <w:r w:rsidRPr="006308D0">
        <w:rPr>
          <w:rFonts w:ascii="Times New Roman" w:hAnsi="Times New Roman" w:cs="Times New Roman"/>
          <w:sz w:val="20"/>
          <w:szCs w:val="20"/>
        </w:rPr>
        <w:t>6.3</w:t>
      </w:r>
      <w:r w:rsidRPr="006308D0">
        <w:rPr>
          <w:rFonts w:ascii="Times New Roman" w:hAnsi="Times New Roman" w:cs="Times New Roman"/>
          <w:sz w:val="20"/>
          <w:szCs w:val="20"/>
        </w:rPr>
        <w:t>％と</w:t>
      </w:r>
      <w:r w:rsidRPr="006308D0">
        <w:rPr>
          <w:rFonts w:ascii="Times New Roman" w:hAnsi="Times New Roman" w:cs="Times New Roman"/>
          <w:sz w:val="20"/>
          <w:szCs w:val="20"/>
        </w:rPr>
        <w:t>3.4</w:t>
      </w:r>
      <w:r w:rsidRPr="006308D0">
        <w:rPr>
          <w:rFonts w:ascii="Times New Roman" w:hAnsi="Times New Roman" w:cs="Times New Roman"/>
          <w:sz w:val="20"/>
          <w:szCs w:val="20"/>
        </w:rPr>
        <w:t>％を記録した（</w:t>
      </w:r>
      <w:r w:rsidRPr="006308D0">
        <w:rPr>
          <w:rFonts w:ascii="Times New Roman" w:hAnsi="Times New Roman" w:cs="Times New Roman"/>
          <w:sz w:val="20"/>
          <w:szCs w:val="20"/>
        </w:rPr>
        <w:t>p. 27</w:t>
      </w:r>
      <w:r w:rsidRPr="006308D0">
        <w:rPr>
          <w:rFonts w:ascii="Times New Roman" w:hAnsi="Times New Roman" w:cs="Times New Roman"/>
          <w:sz w:val="20"/>
          <w:szCs w:val="20"/>
        </w:rPr>
        <w:t>）ことを考慮に入れると、それは説明がつく。なお、</w:t>
      </w:r>
      <w:r w:rsidRPr="006308D0">
        <w:rPr>
          <w:rFonts w:ascii="Times New Roman" w:hAnsi="Times New Roman" w:cs="Times New Roman"/>
          <w:sz w:val="20"/>
          <w:szCs w:val="20"/>
        </w:rPr>
        <w:t>Bank of Latvia (2010)</w:t>
      </w:r>
      <w:r w:rsidRPr="006308D0">
        <w:rPr>
          <w:rFonts w:ascii="Times New Roman" w:hAnsi="Times New Roman" w:cs="Times New Roman"/>
          <w:sz w:val="20"/>
          <w:szCs w:val="20"/>
        </w:rPr>
        <w:t>は、利益の再投資を除いた</w:t>
      </w:r>
      <w:r w:rsidRPr="006308D0">
        <w:rPr>
          <w:rFonts w:ascii="Times New Roman" w:hAnsi="Times New Roman" w:cs="Times New Roman"/>
          <w:sz w:val="20"/>
          <w:szCs w:val="20"/>
        </w:rPr>
        <w:t>2009</w:t>
      </w:r>
      <w:r w:rsidRPr="006308D0">
        <w:rPr>
          <w:rFonts w:ascii="Times New Roman" w:hAnsi="Times New Roman" w:cs="Times New Roman"/>
          <w:sz w:val="20"/>
          <w:szCs w:val="20"/>
        </w:rPr>
        <w:t>年の経常収支も挙げており、それは</w:t>
      </w:r>
      <w:r w:rsidRPr="006308D0">
        <w:rPr>
          <w:rFonts w:ascii="Times New Roman" w:hAnsi="Times New Roman" w:cs="Times New Roman"/>
          <w:sz w:val="20"/>
          <w:szCs w:val="20"/>
        </w:rPr>
        <w:t>GDP</w:t>
      </w:r>
      <w:r w:rsidRPr="006308D0">
        <w:rPr>
          <w:rFonts w:ascii="Times New Roman" w:hAnsi="Times New Roman" w:cs="Times New Roman"/>
          <w:sz w:val="20"/>
          <w:szCs w:val="20"/>
        </w:rPr>
        <w:t>の</w:t>
      </w:r>
      <w:r w:rsidRPr="006308D0">
        <w:rPr>
          <w:rFonts w:ascii="Times New Roman" w:hAnsi="Times New Roman" w:cs="Times New Roman"/>
          <w:sz w:val="20"/>
          <w:szCs w:val="20"/>
        </w:rPr>
        <w:t>0.6</w:t>
      </w:r>
      <w:r w:rsidRPr="006308D0">
        <w:rPr>
          <w:rFonts w:ascii="Times New Roman" w:hAnsi="Times New Roman" w:cs="Times New Roman"/>
          <w:sz w:val="20"/>
          <w:szCs w:val="20"/>
        </w:rPr>
        <w:t>％であった</w:t>
      </w:r>
      <w:r w:rsidRPr="006308D0">
        <w:rPr>
          <w:rFonts w:hint="eastAsia"/>
          <w:sz w:val="20"/>
          <w:szCs w:val="20"/>
        </w:rPr>
        <w:t>。</w:t>
      </w:r>
    </w:p>
  </w:footnote>
  <w:footnote w:id="11">
    <w:p w:rsidR="009F52BB" w:rsidRDefault="009F52BB" w:rsidP="00500F53">
      <w:pPr>
        <w:pStyle w:val="ac"/>
        <w:jc w:val="both"/>
      </w:pPr>
      <w:r w:rsidRPr="006308D0">
        <w:rPr>
          <w:rStyle w:val="ae"/>
          <w:sz w:val="20"/>
          <w:szCs w:val="20"/>
        </w:rPr>
        <w:footnoteRef/>
      </w:r>
      <w:r w:rsidRPr="006308D0">
        <w:rPr>
          <w:sz w:val="20"/>
          <w:szCs w:val="20"/>
        </w:rPr>
        <w:t xml:space="preserve"> </w:t>
      </w:r>
      <w:r w:rsidRPr="006308D0">
        <w:rPr>
          <w:rFonts w:ascii="Times New Roman" w:cs="Times New Roman"/>
          <w:sz w:val="20"/>
          <w:szCs w:val="20"/>
        </w:rPr>
        <w:t>クロウリーとスタノエヴィチは、ネオ・コーポラティスト的経済（または調整された市場経済）がどのようにして生まれるかについての「さまざまな資本主義」論（</w:t>
      </w:r>
      <w:proofErr w:type="spellStart"/>
      <w:r w:rsidRPr="006308D0">
        <w:rPr>
          <w:rFonts w:ascii="Times New Roman" w:hAnsi="Times New Roman" w:cs="Times New Roman"/>
          <w:sz w:val="20"/>
          <w:szCs w:val="20"/>
        </w:rPr>
        <w:t>VoC</w:t>
      </w:r>
      <w:proofErr w:type="spellEnd"/>
      <w:r w:rsidRPr="006308D0">
        <w:rPr>
          <w:rFonts w:ascii="Times New Roman" w:cs="Times New Roman"/>
          <w:sz w:val="20"/>
          <w:szCs w:val="20"/>
        </w:rPr>
        <w:t>）と権力資源論の論争を紹介し、スロヴェニアの事例では、労働者の動員を重視する権力資源論の方がより説得力があると述べている。彼らは、</w:t>
      </w:r>
      <w:proofErr w:type="spellStart"/>
      <w:r w:rsidRPr="006308D0">
        <w:rPr>
          <w:rFonts w:ascii="Times New Roman" w:hAnsi="Times New Roman" w:cs="Times New Roman"/>
          <w:sz w:val="20"/>
          <w:szCs w:val="20"/>
        </w:rPr>
        <w:t>VoC</w:t>
      </w:r>
      <w:proofErr w:type="spellEnd"/>
      <w:r w:rsidRPr="006308D0">
        <w:rPr>
          <w:rFonts w:ascii="Times New Roman" w:cs="Times New Roman"/>
          <w:sz w:val="20"/>
          <w:szCs w:val="20"/>
        </w:rPr>
        <w:t>論と権力資源論の総合を提唱し、</w:t>
      </w:r>
      <w:r w:rsidRPr="006308D0">
        <w:rPr>
          <w:rFonts w:ascii="Times New Roman" w:cs="Times New Roman" w:hint="eastAsia"/>
          <w:sz w:val="20"/>
          <w:szCs w:val="20"/>
        </w:rPr>
        <w:t>経済</w:t>
      </w:r>
      <w:r w:rsidRPr="006308D0">
        <w:rPr>
          <w:rFonts w:ascii="Times New Roman" w:cs="Times New Roman"/>
          <w:sz w:val="20"/>
          <w:szCs w:val="20"/>
        </w:rPr>
        <w:t>発展の歴史的経路を重視する</w:t>
      </w:r>
      <w:proofErr w:type="spellStart"/>
      <w:r w:rsidRPr="006308D0">
        <w:rPr>
          <w:rFonts w:ascii="Times New Roman" w:hAnsi="Times New Roman" w:cs="Times New Roman"/>
          <w:sz w:val="20"/>
          <w:szCs w:val="20"/>
        </w:rPr>
        <w:t>Iversen</w:t>
      </w:r>
      <w:proofErr w:type="spellEnd"/>
      <w:r w:rsidRPr="006308D0">
        <w:rPr>
          <w:rFonts w:ascii="Times New Roman" w:cs="Times New Roman"/>
          <w:sz w:val="20"/>
          <w:szCs w:val="20"/>
        </w:rPr>
        <w:t>ら</w:t>
      </w:r>
      <w:r w:rsidRPr="006308D0">
        <w:rPr>
          <w:rFonts w:ascii="Times New Roman" w:cs="Times New Roman" w:hint="eastAsia"/>
          <w:sz w:val="20"/>
          <w:szCs w:val="20"/>
        </w:rPr>
        <w:t>（</w:t>
      </w:r>
      <w:proofErr w:type="spellStart"/>
      <w:r w:rsidRPr="006308D0">
        <w:rPr>
          <w:rFonts w:ascii="Times New Roman" w:hAnsi="Times New Roman" w:cs="Times New Roman" w:hint="eastAsia"/>
          <w:sz w:val="20"/>
          <w:szCs w:val="20"/>
        </w:rPr>
        <w:t>Iversen</w:t>
      </w:r>
      <w:proofErr w:type="spellEnd"/>
      <w:r w:rsidRPr="006308D0">
        <w:rPr>
          <w:rFonts w:ascii="Times New Roman" w:hAnsi="Times New Roman" w:cs="Times New Roman" w:hint="eastAsia"/>
          <w:sz w:val="20"/>
          <w:szCs w:val="20"/>
        </w:rPr>
        <w:t xml:space="preserve"> and Stephens, 2008; Cusack, </w:t>
      </w:r>
      <w:proofErr w:type="spellStart"/>
      <w:r w:rsidRPr="006308D0">
        <w:rPr>
          <w:rFonts w:ascii="Times New Roman" w:hAnsi="Times New Roman" w:cs="Times New Roman" w:hint="eastAsia"/>
          <w:sz w:val="20"/>
          <w:szCs w:val="20"/>
        </w:rPr>
        <w:t>Iversen</w:t>
      </w:r>
      <w:proofErr w:type="spellEnd"/>
      <w:r w:rsidRPr="006308D0">
        <w:rPr>
          <w:rFonts w:ascii="Times New Roman" w:hAnsi="Times New Roman" w:cs="Times New Roman" w:hint="eastAsia"/>
          <w:sz w:val="20"/>
          <w:szCs w:val="20"/>
        </w:rPr>
        <w:t xml:space="preserve"> and Soskice, 2007</w:t>
      </w:r>
      <w:r w:rsidRPr="006308D0">
        <w:rPr>
          <w:rFonts w:ascii="Times New Roman" w:cs="Times New Roman" w:hint="eastAsia"/>
          <w:sz w:val="20"/>
          <w:szCs w:val="20"/>
        </w:rPr>
        <w:t>）</w:t>
      </w:r>
      <w:r w:rsidRPr="006308D0">
        <w:rPr>
          <w:rFonts w:ascii="Times New Roman" w:cs="Times New Roman"/>
          <w:sz w:val="20"/>
          <w:szCs w:val="20"/>
        </w:rPr>
        <w:t>の主張に共感を示しながらも、第二次大戦後のユーゴの自主管理社会主義の経験をもっと重視すべきだと論じている。</w:t>
      </w:r>
    </w:p>
  </w:footnote>
  <w:footnote w:id="12">
    <w:p w:rsidR="009F52BB" w:rsidRPr="006308D0" w:rsidRDefault="009F52BB" w:rsidP="009D505B">
      <w:pPr>
        <w:pStyle w:val="ac"/>
        <w:jc w:val="both"/>
        <w:rPr>
          <w:sz w:val="20"/>
          <w:szCs w:val="20"/>
        </w:rPr>
      </w:pPr>
      <w:r w:rsidRPr="006308D0">
        <w:rPr>
          <w:rStyle w:val="ae"/>
          <w:sz w:val="20"/>
          <w:szCs w:val="20"/>
        </w:rPr>
        <w:footnoteRef/>
      </w:r>
      <w:r w:rsidRPr="006308D0">
        <w:rPr>
          <w:sz w:val="20"/>
          <w:szCs w:val="20"/>
        </w:rPr>
        <w:t xml:space="preserve"> </w:t>
      </w:r>
      <w:r w:rsidRPr="006308D0">
        <w:rPr>
          <w:rFonts w:ascii="Times New Roman" w:hAnsi="Times New Roman" w:cs="Times New Roman"/>
          <w:sz w:val="20"/>
          <w:szCs w:val="20"/>
        </w:rPr>
        <w:t>カトリック教会でさえ「ギャンブルの時代」の熱気に感染した。あるカトリックの司祭は投資ファンドを設立し、資金を運用していたが、リーマン・ショック後それは破綻した。バチカンは枢機卿を派遣し、この司祭を解任したという。アンドレイ・ベルギンツ氏（</w:t>
      </w:r>
      <w:r w:rsidRPr="006308D0">
        <w:rPr>
          <w:rFonts w:ascii="Times New Roman" w:hAnsi="Times New Roman" w:cs="Times New Roman"/>
          <w:sz w:val="20"/>
          <w:szCs w:val="20"/>
        </w:rPr>
        <w:t xml:space="preserve">Mr. Andrej </w:t>
      </w:r>
      <w:proofErr w:type="spellStart"/>
      <w:r w:rsidRPr="006308D0">
        <w:rPr>
          <w:rFonts w:ascii="Times New Roman" w:hAnsi="Times New Roman" w:cs="Times New Roman"/>
          <w:sz w:val="20"/>
          <w:szCs w:val="20"/>
        </w:rPr>
        <w:t>Berginc</w:t>
      </w:r>
      <w:proofErr w:type="spellEnd"/>
      <w:r w:rsidRPr="006308D0">
        <w:rPr>
          <w:rFonts w:ascii="Times New Roman" w:hAnsi="Times New Roman" w:cs="Times New Roman"/>
          <w:sz w:val="20"/>
          <w:szCs w:val="20"/>
        </w:rPr>
        <w:t>駐日スロヴェニア大使館公使）とのインタビュー。</w:t>
      </w:r>
      <w:r w:rsidRPr="006308D0">
        <w:rPr>
          <w:rFonts w:ascii="Times New Roman" w:hAnsi="Times New Roman" w:cs="Times New Roman"/>
          <w:sz w:val="20"/>
          <w:szCs w:val="20"/>
        </w:rPr>
        <w:t>2013</w:t>
      </w:r>
      <w:r w:rsidRPr="006308D0">
        <w:rPr>
          <w:rFonts w:ascii="Times New Roman" w:hAnsi="Times New Roman" w:cs="Times New Roman"/>
          <w:sz w:val="20"/>
          <w:szCs w:val="20"/>
        </w:rPr>
        <w:t>年</w:t>
      </w:r>
      <w:r w:rsidRPr="006308D0">
        <w:rPr>
          <w:rFonts w:ascii="Times New Roman" w:hAnsi="Times New Roman" w:cs="Times New Roman"/>
          <w:sz w:val="20"/>
          <w:szCs w:val="20"/>
        </w:rPr>
        <w:t>8</w:t>
      </w:r>
      <w:r w:rsidRPr="006308D0">
        <w:rPr>
          <w:rFonts w:ascii="Times New Roman" w:hAnsi="Times New Roman" w:cs="Times New Roman"/>
          <w:sz w:val="20"/>
          <w:szCs w:val="20"/>
        </w:rPr>
        <w:t>月</w:t>
      </w:r>
      <w:r w:rsidRPr="006308D0">
        <w:rPr>
          <w:rFonts w:ascii="Times New Roman" w:hAnsi="Times New Roman" w:cs="Times New Roman"/>
          <w:sz w:val="20"/>
          <w:szCs w:val="20"/>
        </w:rPr>
        <w:t>9</w:t>
      </w:r>
      <w:r w:rsidRPr="006308D0">
        <w:rPr>
          <w:rFonts w:ascii="Times New Roman" w:hAnsi="Times New Roman" w:cs="Times New Roman"/>
          <w:sz w:val="20"/>
          <w:szCs w:val="20"/>
        </w:rPr>
        <w:t>日。</w:t>
      </w:r>
    </w:p>
  </w:footnote>
  <w:footnote w:id="13">
    <w:p w:rsidR="009F52BB" w:rsidRPr="006308D0" w:rsidRDefault="009F52BB" w:rsidP="00E471FE">
      <w:pPr>
        <w:pStyle w:val="ac"/>
        <w:rPr>
          <w:sz w:val="20"/>
          <w:szCs w:val="20"/>
        </w:rPr>
      </w:pPr>
      <w:r w:rsidRPr="006308D0">
        <w:rPr>
          <w:rStyle w:val="ae"/>
          <w:sz w:val="20"/>
          <w:szCs w:val="20"/>
        </w:rPr>
        <w:footnoteRef/>
      </w:r>
      <w:r w:rsidRPr="006308D0">
        <w:rPr>
          <w:sz w:val="20"/>
          <w:szCs w:val="20"/>
        </w:rPr>
        <w:t xml:space="preserve"> </w:t>
      </w:r>
      <w:r w:rsidRPr="006308D0">
        <w:rPr>
          <w:rFonts w:hint="eastAsia"/>
          <w:sz w:val="20"/>
          <w:szCs w:val="20"/>
        </w:rPr>
        <w:t>流出したのは主に富裕層の貯蓄である。その理由は、第</w:t>
      </w:r>
      <w:r w:rsidRPr="006308D0">
        <w:rPr>
          <w:rFonts w:hint="eastAsia"/>
          <w:sz w:val="20"/>
          <w:szCs w:val="20"/>
        </w:rPr>
        <w:t>1</w:t>
      </w:r>
      <w:r w:rsidRPr="006308D0">
        <w:rPr>
          <w:rFonts w:hint="eastAsia"/>
          <w:sz w:val="20"/>
          <w:szCs w:val="20"/>
        </w:rPr>
        <w:t>に租税回避であり、第</w:t>
      </w:r>
      <w:r w:rsidRPr="006308D0">
        <w:rPr>
          <w:rFonts w:hint="eastAsia"/>
          <w:sz w:val="20"/>
          <w:szCs w:val="20"/>
        </w:rPr>
        <w:t>2</w:t>
      </w:r>
      <w:r w:rsidRPr="006308D0">
        <w:rPr>
          <w:rFonts w:hint="eastAsia"/>
          <w:sz w:val="20"/>
          <w:szCs w:val="20"/>
        </w:rPr>
        <w:t>に、スロヴェニアの銀行システムに対する不信であった。預金保証の上限は</w:t>
      </w:r>
      <w:r w:rsidRPr="006308D0">
        <w:rPr>
          <w:rFonts w:hint="eastAsia"/>
          <w:sz w:val="20"/>
          <w:szCs w:val="20"/>
        </w:rPr>
        <w:t>10</w:t>
      </w:r>
      <w:r w:rsidRPr="006308D0">
        <w:rPr>
          <w:rFonts w:hint="eastAsia"/>
          <w:sz w:val="20"/>
          <w:szCs w:val="20"/>
        </w:rPr>
        <w:t>万ユーロであった。ボグダン・カフチッチ教授（スロヴェニア、プリモールスカ大学）の情報。</w:t>
      </w:r>
    </w:p>
  </w:footnote>
  <w:footnote w:id="14">
    <w:p w:rsidR="009F52BB" w:rsidRPr="006308D0" w:rsidRDefault="009F52BB" w:rsidP="009D0D95">
      <w:pPr>
        <w:pStyle w:val="ac"/>
        <w:jc w:val="both"/>
        <w:rPr>
          <w:rFonts w:ascii="Times New Roman" w:hAnsi="Times New Roman" w:cs="Times New Roman"/>
          <w:sz w:val="20"/>
          <w:szCs w:val="20"/>
        </w:rPr>
      </w:pPr>
      <w:r w:rsidRPr="006308D0">
        <w:rPr>
          <w:rStyle w:val="ae"/>
          <w:rFonts w:ascii="Times New Roman" w:hAnsi="Times New Roman" w:cs="Times New Roman"/>
          <w:sz w:val="20"/>
          <w:szCs w:val="20"/>
        </w:rPr>
        <w:footnoteRef/>
      </w:r>
      <w:r w:rsidRPr="006308D0">
        <w:rPr>
          <w:rFonts w:ascii="Times New Roman" w:hAnsi="Times New Roman" w:cs="Times New Roman"/>
          <w:sz w:val="20"/>
          <w:szCs w:val="20"/>
        </w:rPr>
        <w:t xml:space="preserve"> </w:t>
      </w:r>
      <w:r w:rsidRPr="006308D0">
        <w:rPr>
          <w:rFonts w:ascii="Times New Roman" w:hAnsi="Times New Roman" w:cs="Times New Roman"/>
          <w:sz w:val="20"/>
          <w:szCs w:val="20"/>
        </w:rPr>
        <w:t>スロヴェニアの住宅研究所の</w:t>
      </w:r>
      <w:proofErr w:type="spellStart"/>
      <w:r w:rsidRPr="006308D0">
        <w:rPr>
          <w:rFonts w:ascii="Times New Roman" w:hAnsi="Times New Roman" w:cs="Times New Roman"/>
          <w:sz w:val="20"/>
          <w:szCs w:val="20"/>
        </w:rPr>
        <w:t>Sendi</w:t>
      </w:r>
      <w:proofErr w:type="spellEnd"/>
      <w:r w:rsidRPr="006308D0">
        <w:rPr>
          <w:rFonts w:ascii="Times New Roman" w:hAnsi="Times New Roman" w:cs="Times New Roman"/>
          <w:sz w:val="20"/>
          <w:szCs w:val="20"/>
        </w:rPr>
        <w:t xml:space="preserve"> (2010)</w:t>
      </w:r>
      <w:r w:rsidRPr="006308D0">
        <w:rPr>
          <w:rFonts w:ascii="Times New Roman" w:hAnsi="Times New Roman" w:cs="Times New Roman"/>
          <w:sz w:val="20"/>
          <w:szCs w:val="20"/>
        </w:rPr>
        <w:t>は、スロヴェニアの住宅セクターで起こった現象は住宅バブルとその破綻ではなく、信用収縮による住宅需要の減退だと主張する。その理由として彼は次の</w:t>
      </w:r>
      <w:r w:rsidRPr="006308D0">
        <w:rPr>
          <w:rFonts w:ascii="Times New Roman" w:hAnsi="Times New Roman" w:cs="Times New Roman"/>
          <w:sz w:val="20"/>
          <w:szCs w:val="20"/>
        </w:rPr>
        <w:t>2</w:t>
      </w:r>
      <w:r w:rsidRPr="006308D0">
        <w:rPr>
          <w:rFonts w:ascii="Times New Roman" w:hAnsi="Times New Roman" w:cs="Times New Roman"/>
          <w:sz w:val="20"/>
          <w:szCs w:val="20"/>
        </w:rPr>
        <w:t>点を挙げている。住宅供給は</w:t>
      </w:r>
      <w:r w:rsidRPr="006308D0">
        <w:rPr>
          <w:rFonts w:ascii="Times New Roman" w:hAnsi="Times New Roman" w:cs="Times New Roman"/>
          <w:sz w:val="20"/>
          <w:szCs w:val="20"/>
        </w:rPr>
        <w:t>1990</w:t>
      </w:r>
      <w:r w:rsidRPr="006308D0">
        <w:rPr>
          <w:rFonts w:ascii="Times New Roman" w:hAnsi="Times New Roman" w:cs="Times New Roman"/>
          <w:sz w:val="20"/>
          <w:szCs w:val="20"/>
        </w:rPr>
        <w:t>年代初め以来つねに需要に立ち遅れたので住宅価格は着実に上昇したが、住宅建設の過度の増加や住宅価格の過度の上昇はなく、また</w:t>
      </w:r>
      <w:r w:rsidRPr="006308D0">
        <w:rPr>
          <w:rFonts w:ascii="Times New Roman" w:hAnsi="Times New Roman" w:cs="Times New Roman"/>
          <w:sz w:val="20"/>
          <w:szCs w:val="20"/>
        </w:rPr>
        <w:t>2000</w:t>
      </w:r>
      <w:r w:rsidRPr="006308D0">
        <w:rPr>
          <w:rFonts w:ascii="Times New Roman" w:hAnsi="Times New Roman" w:cs="Times New Roman"/>
          <w:sz w:val="20"/>
          <w:szCs w:val="20"/>
        </w:rPr>
        <w:t>年代半ばにアイルランドで記録したような規模での住宅価格のその後の低下はなかった。第</w:t>
      </w:r>
      <w:r w:rsidRPr="006308D0">
        <w:rPr>
          <w:rFonts w:ascii="Times New Roman" w:hAnsi="Times New Roman" w:cs="Times New Roman"/>
          <w:sz w:val="20"/>
          <w:szCs w:val="20"/>
        </w:rPr>
        <w:t>2</w:t>
      </w:r>
      <w:r w:rsidRPr="006308D0">
        <w:rPr>
          <w:rFonts w:ascii="Times New Roman" w:hAnsi="Times New Roman" w:cs="Times New Roman"/>
          <w:sz w:val="20"/>
          <w:szCs w:val="20"/>
        </w:rPr>
        <w:t>に、</w:t>
      </w:r>
      <w:r w:rsidRPr="006308D0">
        <w:rPr>
          <w:rFonts w:ascii="Times New Roman" w:hAnsi="Times New Roman" w:cs="Times New Roman"/>
          <w:sz w:val="20"/>
          <w:szCs w:val="20"/>
        </w:rPr>
        <w:t>MBS</w:t>
      </w:r>
      <w:r w:rsidRPr="006308D0">
        <w:rPr>
          <w:rFonts w:ascii="Times New Roman" w:hAnsi="Times New Roman" w:cs="Times New Roman"/>
          <w:sz w:val="20"/>
          <w:szCs w:val="20"/>
        </w:rPr>
        <w:t>（抵当ｘｘ証券）モデルはスロヴェニアの場合には当てはまらない。この国はかなり保守的な銀行制度を維持しており、サブプライム住宅ローン証書の発行を阻止するようなメカニズムが組み込まれている。この国には、住宅ローン専門の金融機関はない。住宅金融のためのすべてのローンは伝統的な商業銀行によって提供されている。スロヴェニアの銀行規制は、永続的な職を持つ申請者かもしくはその他の形態の永続的な所得を持つ申請者（たとえば、年金生活者）にしかローンを提供しないよう求めている。くわえて、</w:t>
      </w:r>
      <w:r w:rsidRPr="006308D0">
        <w:rPr>
          <w:rFonts w:ascii="Times New Roman" w:hAnsi="Times New Roman" w:cs="Times New Roman"/>
          <w:sz w:val="20"/>
          <w:szCs w:val="20"/>
        </w:rPr>
        <w:t>1</w:t>
      </w:r>
      <w:r w:rsidRPr="006308D0">
        <w:rPr>
          <w:rFonts w:ascii="Times New Roman" w:hAnsi="Times New Roman" w:cs="Times New Roman"/>
          <w:sz w:val="20"/>
          <w:szCs w:val="20"/>
        </w:rPr>
        <w:t>ヵ月の返済額は申請者の月収の</w:t>
      </w:r>
      <w:r w:rsidRPr="006308D0">
        <w:rPr>
          <w:rFonts w:ascii="Times New Roman" w:hAnsi="Times New Roman" w:cs="Times New Roman"/>
          <w:sz w:val="20"/>
          <w:szCs w:val="20"/>
        </w:rPr>
        <w:t>3</w:t>
      </w:r>
      <w:r w:rsidRPr="006308D0">
        <w:rPr>
          <w:rFonts w:ascii="Times New Roman" w:hAnsi="Times New Roman" w:cs="Times New Roman"/>
          <w:sz w:val="20"/>
          <w:szCs w:val="20"/>
        </w:rPr>
        <w:t>分の</w:t>
      </w:r>
      <w:r w:rsidRPr="006308D0">
        <w:rPr>
          <w:rFonts w:ascii="Times New Roman" w:hAnsi="Times New Roman" w:cs="Times New Roman"/>
          <w:sz w:val="20"/>
          <w:szCs w:val="20"/>
        </w:rPr>
        <w:t>1</w:t>
      </w:r>
      <w:r w:rsidRPr="006308D0">
        <w:rPr>
          <w:rFonts w:ascii="Times New Roman" w:hAnsi="Times New Roman" w:cs="Times New Roman"/>
          <w:sz w:val="20"/>
          <w:szCs w:val="20"/>
        </w:rPr>
        <w:t>を超えてはならない。それゆえ、アメリカのサブプライム住宅ローンのような安易なローンは個人には提供されなかった。だが、</w:t>
      </w:r>
      <w:proofErr w:type="spellStart"/>
      <w:r w:rsidRPr="006308D0">
        <w:rPr>
          <w:rFonts w:ascii="Times New Roman" w:hAnsi="Times New Roman" w:cs="Times New Roman"/>
          <w:sz w:val="20"/>
          <w:szCs w:val="20"/>
        </w:rPr>
        <w:t>Sendi</w:t>
      </w:r>
      <w:proofErr w:type="spellEnd"/>
      <w:r w:rsidRPr="006308D0">
        <w:rPr>
          <w:rFonts w:ascii="Times New Roman" w:hAnsi="Times New Roman" w:cs="Times New Roman"/>
          <w:sz w:val="20"/>
          <w:szCs w:val="20"/>
        </w:rPr>
        <w:t xml:space="preserve"> (2010)</w:t>
      </w:r>
      <w:r w:rsidRPr="006308D0">
        <w:rPr>
          <w:rFonts w:ascii="Times New Roman" w:hAnsi="Times New Roman" w:cs="Times New Roman"/>
          <w:sz w:val="20"/>
          <w:szCs w:val="20"/>
        </w:rPr>
        <w:t>は、この議論は個人（自然人）にはあてはまるが、法人への貸付けには当てはまらない、と付け加えている。銀行は建設会社に多額のローンを積極的に提供した。主に過度の借入れで操業していた多くの建設会社（典型的な例は</w:t>
      </w:r>
      <w:proofErr w:type="spellStart"/>
      <w:r w:rsidRPr="006308D0">
        <w:rPr>
          <w:rFonts w:ascii="Times New Roman" w:hAnsi="Times New Roman" w:cs="Times New Roman"/>
          <w:sz w:val="20"/>
          <w:szCs w:val="20"/>
        </w:rPr>
        <w:t>Vegrad</w:t>
      </w:r>
      <w:proofErr w:type="spellEnd"/>
      <w:r w:rsidRPr="006308D0">
        <w:rPr>
          <w:rFonts w:ascii="Times New Roman" w:hAnsi="Times New Roman" w:cs="Times New Roman"/>
          <w:sz w:val="20"/>
          <w:szCs w:val="20"/>
        </w:rPr>
        <w:t>）がグローバル金融危機の後、破産した。</w:t>
      </w:r>
    </w:p>
  </w:footnote>
  <w:footnote w:id="15">
    <w:p w:rsidR="009F52BB" w:rsidRPr="006308D0" w:rsidRDefault="009F52BB" w:rsidP="009D0D95">
      <w:pPr>
        <w:pStyle w:val="ac"/>
        <w:rPr>
          <w:sz w:val="20"/>
          <w:szCs w:val="20"/>
        </w:rPr>
      </w:pPr>
      <w:r w:rsidRPr="006308D0">
        <w:rPr>
          <w:rStyle w:val="ae"/>
          <w:sz w:val="20"/>
          <w:szCs w:val="20"/>
        </w:rPr>
        <w:footnoteRef/>
      </w:r>
      <w:r w:rsidRPr="006308D0">
        <w:rPr>
          <w:sz w:val="20"/>
          <w:szCs w:val="20"/>
        </w:rPr>
        <w:t xml:space="preserve"> </w:t>
      </w:r>
      <w:r w:rsidRPr="006308D0">
        <w:rPr>
          <w:rFonts w:hint="eastAsia"/>
          <w:sz w:val="20"/>
          <w:szCs w:val="20"/>
        </w:rPr>
        <w:t>スロヴェニアを北東から南西へ、そして北西から東へ横断する</w:t>
      </w:r>
      <w:r w:rsidRPr="006308D0">
        <w:rPr>
          <w:rFonts w:hint="eastAsia"/>
          <w:sz w:val="20"/>
          <w:szCs w:val="20"/>
        </w:rPr>
        <w:t>2</w:t>
      </w:r>
      <w:r w:rsidRPr="006308D0">
        <w:rPr>
          <w:rFonts w:hint="eastAsia"/>
          <w:sz w:val="20"/>
          <w:szCs w:val="20"/>
        </w:rPr>
        <w:t>本の高速道路建設という大事業がちょうどグローバル金融危機が勃発する前に完了した。これらは政府が費用負担した者であった。ボグダン・カフチッチ教授の情報。</w:t>
      </w:r>
    </w:p>
  </w:footnote>
  <w:footnote w:id="16">
    <w:p w:rsidR="009F52BB" w:rsidRPr="00CC7F9A" w:rsidRDefault="009F52BB">
      <w:pPr>
        <w:pStyle w:val="ac"/>
        <w:rPr>
          <w:sz w:val="20"/>
          <w:szCs w:val="20"/>
        </w:rPr>
      </w:pPr>
      <w:r w:rsidRPr="00CC7F9A">
        <w:rPr>
          <w:rStyle w:val="ae"/>
          <w:sz w:val="20"/>
          <w:szCs w:val="20"/>
        </w:rPr>
        <w:footnoteRef/>
      </w:r>
      <w:r w:rsidRPr="00CC7F9A">
        <w:rPr>
          <w:sz w:val="20"/>
          <w:szCs w:val="20"/>
        </w:rPr>
        <w:t xml:space="preserve"> </w:t>
      </w:r>
      <w:r w:rsidRPr="00CC7F9A">
        <w:rPr>
          <w:rFonts w:hint="eastAsia"/>
          <w:sz w:val="20"/>
          <w:szCs w:val="20"/>
        </w:rPr>
        <w:t>スヴェトリチッチ教授の</w:t>
      </w:r>
      <w:r w:rsidRPr="00CC7F9A">
        <w:rPr>
          <w:rFonts w:hint="eastAsia"/>
          <w:sz w:val="20"/>
          <w:szCs w:val="20"/>
        </w:rPr>
        <w:t>e-mail</w:t>
      </w:r>
      <w:r w:rsidRPr="00CC7F9A">
        <w:rPr>
          <w:rFonts w:hint="eastAsia"/>
          <w:sz w:val="20"/>
          <w:szCs w:val="20"/>
        </w:rPr>
        <w:t>による情報。</w:t>
      </w:r>
    </w:p>
  </w:footnote>
  <w:footnote w:id="17">
    <w:p w:rsidR="009F52BB" w:rsidRPr="00CC7F9A" w:rsidRDefault="009F52BB">
      <w:pPr>
        <w:pStyle w:val="ac"/>
        <w:rPr>
          <w:rFonts w:ascii="Times New Roman" w:hAnsi="Times New Roman" w:cs="Times New Roman"/>
          <w:sz w:val="20"/>
          <w:szCs w:val="20"/>
        </w:rPr>
      </w:pPr>
      <w:r w:rsidRPr="00CC7F9A">
        <w:rPr>
          <w:rStyle w:val="ae"/>
          <w:sz w:val="20"/>
          <w:szCs w:val="20"/>
        </w:rPr>
        <w:footnoteRef/>
      </w:r>
      <w:r w:rsidRPr="00CC7F9A">
        <w:rPr>
          <w:sz w:val="20"/>
          <w:szCs w:val="20"/>
        </w:rPr>
        <w:t xml:space="preserve"> </w:t>
      </w:r>
      <w:r w:rsidRPr="00CC7F9A">
        <w:rPr>
          <w:rFonts w:ascii="Times New Roman" w:hAnsi="Times New Roman" w:cs="Times New Roman"/>
          <w:sz w:val="20"/>
          <w:szCs w:val="20"/>
        </w:rPr>
        <w:t>スロヴェニアの政治危機については、小山（</w:t>
      </w:r>
      <w:r w:rsidRPr="00CC7F9A">
        <w:rPr>
          <w:rFonts w:ascii="Times New Roman" w:hAnsi="Times New Roman" w:cs="Times New Roman"/>
          <w:sz w:val="20"/>
          <w:szCs w:val="20"/>
        </w:rPr>
        <w:t>2015</w:t>
      </w:r>
      <w:r w:rsidRPr="00CC7F9A">
        <w:rPr>
          <w:rFonts w:ascii="Times New Roman" w:hAnsi="Times New Roman" w:cs="Times New Roman"/>
          <w:sz w:val="20"/>
          <w:szCs w:val="20"/>
        </w:rPr>
        <w:t>）</w:t>
      </w:r>
      <w:r w:rsidRPr="00CC7F9A">
        <w:rPr>
          <w:rFonts w:ascii="Times New Roman" w:hAnsi="Times New Roman" w:cs="Times New Roman"/>
          <w:sz w:val="20"/>
          <w:szCs w:val="20"/>
        </w:rPr>
        <w:t>を参照されたい。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7E80"/>
    <w:multiLevelType w:val="hybridMultilevel"/>
    <w:tmpl w:val="B776CDD0"/>
    <w:lvl w:ilvl="0" w:tplc="335CB658">
      <w:start w:val="1"/>
      <w:numFmt w:val="decimal"/>
      <w:lvlText w:val="%1."/>
      <w:lvlJc w:val="left"/>
      <w:pPr>
        <w:tabs>
          <w:tab w:val="num" w:pos="720"/>
        </w:tabs>
        <w:ind w:left="720" w:hanging="360"/>
      </w:pPr>
    </w:lvl>
    <w:lvl w:ilvl="1" w:tplc="F252E1F8" w:tentative="1">
      <w:start w:val="1"/>
      <w:numFmt w:val="decimal"/>
      <w:lvlText w:val="%2."/>
      <w:lvlJc w:val="left"/>
      <w:pPr>
        <w:tabs>
          <w:tab w:val="num" w:pos="1440"/>
        </w:tabs>
        <w:ind w:left="1440" w:hanging="360"/>
      </w:pPr>
    </w:lvl>
    <w:lvl w:ilvl="2" w:tplc="9362B898" w:tentative="1">
      <w:start w:val="1"/>
      <w:numFmt w:val="decimal"/>
      <w:lvlText w:val="%3."/>
      <w:lvlJc w:val="left"/>
      <w:pPr>
        <w:tabs>
          <w:tab w:val="num" w:pos="2160"/>
        </w:tabs>
        <w:ind w:left="2160" w:hanging="360"/>
      </w:pPr>
    </w:lvl>
    <w:lvl w:ilvl="3" w:tplc="14EA9972" w:tentative="1">
      <w:start w:val="1"/>
      <w:numFmt w:val="decimal"/>
      <w:lvlText w:val="%4."/>
      <w:lvlJc w:val="left"/>
      <w:pPr>
        <w:tabs>
          <w:tab w:val="num" w:pos="2880"/>
        </w:tabs>
        <w:ind w:left="2880" w:hanging="360"/>
      </w:pPr>
    </w:lvl>
    <w:lvl w:ilvl="4" w:tplc="4546092E" w:tentative="1">
      <w:start w:val="1"/>
      <w:numFmt w:val="decimal"/>
      <w:lvlText w:val="%5."/>
      <w:lvlJc w:val="left"/>
      <w:pPr>
        <w:tabs>
          <w:tab w:val="num" w:pos="3600"/>
        </w:tabs>
        <w:ind w:left="3600" w:hanging="360"/>
      </w:pPr>
    </w:lvl>
    <w:lvl w:ilvl="5" w:tplc="7570E3F0" w:tentative="1">
      <w:start w:val="1"/>
      <w:numFmt w:val="decimal"/>
      <w:lvlText w:val="%6."/>
      <w:lvlJc w:val="left"/>
      <w:pPr>
        <w:tabs>
          <w:tab w:val="num" w:pos="4320"/>
        </w:tabs>
        <w:ind w:left="4320" w:hanging="360"/>
      </w:pPr>
    </w:lvl>
    <w:lvl w:ilvl="6" w:tplc="EB9EC6C6" w:tentative="1">
      <w:start w:val="1"/>
      <w:numFmt w:val="decimal"/>
      <w:lvlText w:val="%7."/>
      <w:lvlJc w:val="left"/>
      <w:pPr>
        <w:tabs>
          <w:tab w:val="num" w:pos="5040"/>
        </w:tabs>
        <w:ind w:left="5040" w:hanging="360"/>
      </w:pPr>
    </w:lvl>
    <w:lvl w:ilvl="7" w:tplc="2A2C4A48" w:tentative="1">
      <w:start w:val="1"/>
      <w:numFmt w:val="decimal"/>
      <w:lvlText w:val="%8."/>
      <w:lvlJc w:val="left"/>
      <w:pPr>
        <w:tabs>
          <w:tab w:val="num" w:pos="5760"/>
        </w:tabs>
        <w:ind w:left="5760" w:hanging="360"/>
      </w:pPr>
    </w:lvl>
    <w:lvl w:ilvl="8" w:tplc="43AA3576" w:tentative="1">
      <w:start w:val="1"/>
      <w:numFmt w:val="decimal"/>
      <w:lvlText w:val="%9."/>
      <w:lvlJc w:val="left"/>
      <w:pPr>
        <w:tabs>
          <w:tab w:val="num" w:pos="6480"/>
        </w:tabs>
        <w:ind w:left="6480" w:hanging="360"/>
      </w:pPr>
    </w:lvl>
  </w:abstractNum>
  <w:abstractNum w:abstractNumId="1">
    <w:nsid w:val="0C3E65BD"/>
    <w:multiLevelType w:val="hybridMultilevel"/>
    <w:tmpl w:val="BFA81630"/>
    <w:lvl w:ilvl="0" w:tplc="766A5CF6">
      <w:start w:val="1"/>
      <w:numFmt w:val="bullet"/>
      <w:lvlText w:val="•"/>
      <w:lvlJc w:val="left"/>
      <w:pPr>
        <w:tabs>
          <w:tab w:val="num" w:pos="720"/>
        </w:tabs>
        <w:ind w:left="720" w:hanging="360"/>
      </w:pPr>
      <w:rPr>
        <w:rFonts w:ascii="Arial" w:hAnsi="Arial" w:hint="default"/>
      </w:rPr>
    </w:lvl>
    <w:lvl w:ilvl="1" w:tplc="B2225EC0" w:tentative="1">
      <w:start w:val="1"/>
      <w:numFmt w:val="bullet"/>
      <w:lvlText w:val="•"/>
      <w:lvlJc w:val="left"/>
      <w:pPr>
        <w:tabs>
          <w:tab w:val="num" w:pos="1440"/>
        </w:tabs>
        <w:ind w:left="1440" w:hanging="360"/>
      </w:pPr>
      <w:rPr>
        <w:rFonts w:ascii="Arial" w:hAnsi="Arial" w:hint="default"/>
      </w:rPr>
    </w:lvl>
    <w:lvl w:ilvl="2" w:tplc="46D48D6E" w:tentative="1">
      <w:start w:val="1"/>
      <w:numFmt w:val="bullet"/>
      <w:lvlText w:val="•"/>
      <w:lvlJc w:val="left"/>
      <w:pPr>
        <w:tabs>
          <w:tab w:val="num" w:pos="2160"/>
        </w:tabs>
        <w:ind w:left="2160" w:hanging="360"/>
      </w:pPr>
      <w:rPr>
        <w:rFonts w:ascii="Arial" w:hAnsi="Arial" w:hint="default"/>
      </w:rPr>
    </w:lvl>
    <w:lvl w:ilvl="3" w:tplc="1DB4EC12" w:tentative="1">
      <w:start w:val="1"/>
      <w:numFmt w:val="bullet"/>
      <w:lvlText w:val="•"/>
      <w:lvlJc w:val="left"/>
      <w:pPr>
        <w:tabs>
          <w:tab w:val="num" w:pos="2880"/>
        </w:tabs>
        <w:ind w:left="2880" w:hanging="360"/>
      </w:pPr>
      <w:rPr>
        <w:rFonts w:ascii="Arial" w:hAnsi="Arial" w:hint="default"/>
      </w:rPr>
    </w:lvl>
    <w:lvl w:ilvl="4" w:tplc="08701E28" w:tentative="1">
      <w:start w:val="1"/>
      <w:numFmt w:val="bullet"/>
      <w:lvlText w:val="•"/>
      <w:lvlJc w:val="left"/>
      <w:pPr>
        <w:tabs>
          <w:tab w:val="num" w:pos="3600"/>
        </w:tabs>
        <w:ind w:left="3600" w:hanging="360"/>
      </w:pPr>
      <w:rPr>
        <w:rFonts w:ascii="Arial" w:hAnsi="Arial" w:hint="default"/>
      </w:rPr>
    </w:lvl>
    <w:lvl w:ilvl="5" w:tplc="679C3B7E" w:tentative="1">
      <w:start w:val="1"/>
      <w:numFmt w:val="bullet"/>
      <w:lvlText w:val="•"/>
      <w:lvlJc w:val="left"/>
      <w:pPr>
        <w:tabs>
          <w:tab w:val="num" w:pos="4320"/>
        </w:tabs>
        <w:ind w:left="4320" w:hanging="360"/>
      </w:pPr>
      <w:rPr>
        <w:rFonts w:ascii="Arial" w:hAnsi="Arial" w:hint="default"/>
      </w:rPr>
    </w:lvl>
    <w:lvl w:ilvl="6" w:tplc="BD260318" w:tentative="1">
      <w:start w:val="1"/>
      <w:numFmt w:val="bullet"/>
      <w:lvlText w:val="•"/>
      <w:lvlJc w:val="left"/>
      <w:pPr>
        <w:tabs>
          <w:tab w:val="num" w:pos="5040"/>
        </w:tabs>
        <w:ind w:left="5040" w:hanging="360"/>
      </w:pPr>
      <w:rPr>
        <w:rFonts w:ascii="Arial" w:hAnsi="Arial" w:hint="default"/>
      </w:rPr>
    </w:lvl>
    <w:lvl w:ilvl="7" w:tplc="2D240FDE" w:tentative="1">
      <w:start w:val="1"/>
      <w:numFmt w:val="bullet"/>
      <w:lvlText w:val="•"/>
      <w:lvlJc w:val="left"/>
      <w:pPr>
        <w:tabs>
          <w:tab w:val="num" w:pos="5760"/>
        </w:tabs>
        <w:ind w:left="5760" w:hanging="360"/>
      </w:pPr>
      <w:rPr>
        <w:rFonts w:ascii="Arial" w:hAnsi="Arial" w:hint="default"/>
      </w:rPr>
    </w:lvl>
    <w:lvl w:ilvl="8" w:tplc="1466CBAA" w:tentative="1">
      <w:start w:val="1"/>
      <w:numFmt w:val="bullet"/>
      <w:lvlText w:val="•"/>
      <w:lvlJc w:val="left"/>
      <w:pPr>
        <w:tabs>
          <w:tab w:val="num" w:pos="6480"/>
        </w:tabs>
        <w:ind w:left="6480" w:hanging="360"/>
      </w:pPr>
      <w:rPr>
        <w:rFonts w:ascii="Arial" w:hAnsi="Arial" w:hint="default"/>
      </w:rPr>
    </w:lvl>
  </w:abstractNum>
  <w:abstractNum w:abstractNumId="2">
    <w:nsid w:val="10D3170E"/>
    <w:multiLevelType w:val="hybridMultilevel"/>
    <w:tmpl w:val="787230CC"/>
    <w:lvl w:ilvl="0" w:tplc="59B03314">
      <w:start w:val="1"/>
      <w:numFmt w:val="bullet"/>
      <w:lvlText w:val="•"/>
      <w:lvlJc w:val="left"/>
      <w:pPr>
        <w:tabs>
          <w:tab w:val="num" w:pos="720"/>
        </w:tabs>
        <w:ind w:left="720" w:hanging="360"/>
      </w:pPr>
      <w:rPr>
        <w:rFonts w:ascii="Arial" w:hAnsi="Arial" w:hint="default"/>
      </w:rPr>
    </w:lvl>
    <w:lvl w:ilvl="1" w:tplc="FDC03A54" w:tentative="1">
      <w:start w:val="1"/>
      <w:numFmt w:val="bullet"/>
      <w:lvlText w:val="•"/>
      <w:lvlJc w:val="left"/>
      <w:pPr>
        <w:tabs>
          <w:tab w:val="num" w:pos="1440"/>
        </w:tabs>
        <w:ind w:left="1440" w:hanging="360"/>
      </w:pPr>
      <w:rPr>
        <w:rFonts w:ascii="Arial" w:hAnsi="Arial" w:hint="default"/>
      </w:rPr>
    </w:lvl>
    <w:lvl w:ilvl="2" w:tplc="F85434C2" w:tentative="1">
      <w:start w:val="1"/>
      <w:numFmt w:val="bullet"/>
      <w:lvlText w:val="•"/>
      <w:lvlJc w:val="left"/>
      <w:pPr>
        <w:tabs>
          <w:tab w:val="num" w:pos="2160"/>
        </w:tabs>
        <w:ind w:left="2160" w:hanging="360"/>
      </w:pPr>
      <w:rPr>
        <w:rFonts w:ascii="Arial" w:hAnsi="Arial" w:hint="default"/>
      </w:rPr>
    </w:lvl>
    <w:lvl w:ilvl="3" w:tplc="6AACBE56" w:tentative="1">
      <w:start w:val="1"/>
      <w:numFmt w:val="bullet"/>
      <w:lvlText w:val="•"/>
      <w:lvlJc w:val="left"/>
      <w:pPr>
        <w:tabs>
          <w:tab w:val="num" w:pos="2880"/>
        </w:tabs>
        <w:ind w:left="2880" w:hanging="360"/>
      </w:pPr>
      <w:rPr>
        <w:rFonts w:ascii="Arial" w:hAnsi="Arial" w:hint="default"/>
      </w:rPr>
    </w:lvl>
    <w:lvl w:ilvl="4" w:tplc="699A913A" w:tentative="1">
      <w:start w:val="1"/>
      <w:numFmt w:val="bullet"/>
      <w:lvlText w:val="•"/>
      <w:lvlJc w:val="left"/>
      <w:pPr>
        <w:tabs>
          <w:tab w:val="num" w:pos="3600"/>
        </w:tabs>
        <w:ind w:left="3600" w:hanging="360"/>
      </w:pPr>
      <w:rPr>
        <w:rFonts w:ascii="Arial" w:hAnsi="Arial" w:hint="default"/>
      </w:rPr>
    </w:lvl>
    <w:lvl w:ilvl="5" w:tplc="E188A29A" w:tentative="1">
      <w:start w:val="1"/>
      <w:numFmt w:val="bullet"/>
      <w:lvlText w:val="•"/>
      <w:lvlJc w:val="left"/>
      <w:pPr>
        <w:tabs>
          <w:tab w:val="num" w:pos="4320"/>
        </w:tabs>
        <w:ind w:left="4320" w:hanging="360"/>
      </w:pPr>
      <w:rPr>
        <w:rFonts w:ascii="Arial" w:hAnsi="Arial" w:hint="default"/>
      </w:rPr>
    </w:lvl>
    <w:lvl w:ilvl="6" w:tplc="9AFC395E" w:tentative="1">
      <w:start w:val="1"/>
      <w:numFmt w:val="bullet"/>
      <w:lvlText w:val="•"/>
      <w:lvlJc w:val="left"/>
      <w:pPr>
        <w:tabs>
          <w:tab w:val="num" w:pos="5040"/>
        </w:tabs>
        <w:ind w:left="5040" w:hanging="360"/>
      </w:pPr>
      <w:rPr>
        <w:rFonts w:ascii="Arial" w:hAnsi="Arial" w:hint="default"/>
      </w:rPr>
    </w:lvl>
    <w:lvl w:ilvl="7" w:tplc="2C5AC718" w:tentative="1">
      <w:start w:val="1"/>
      <w:numFmt w:val="bullet"/>
      <w:lvlText w:val="•"/>
      <w:lvlJc w:val="left"/>
      <w:pPr>
        <w:tabs>
          <w:tab w:val="num" w:pos="5760"/>
        </w:tabs>
        <w:ind w:left="5760" w:hanging="360"/>
      </w:pPr>
      <w:rPr>
        <w:rFonts w:ascii="Arial" w:hAnsi="Arial" w:hint="default"/>
      </w:rPr>
    </w:lvl>
    <w:lvl w:ilvl="8" w:tplc="A01271EC" w:tentative="1">
      <w:start w:val="1"/>
      <w:numFmt w:val="bullet"/>
      <w:lvlText w:val="•"/>
      <w:lvlJc w:val="left"/>
      <w:pPr>
        <w:tabs>
          <w:tab w:val="num" w:pos="6480"/>
        </w:tabs>
        <w:ind w:left="6480" w:hanging="360"/>
      </w:pPr>
      <w:rPr>
        <w:rFonts w:ascii="Arial" w:hAnsi="Arial" w:hint="default"/>
      </w:rPr>
    </w:lvl>
  </w:abstractNum>
  <w:abstractNum w:abstractNumId="3">
    <w:nsid w:val="1A4E565A"/>
    <w:multiLevelType w:val="hybridMultilevel"/>
    <w:tmpl w:val="00AAD51E"/>
    <w:lvl w:ilvl="0" w:tplc="9A3C5EC8">
      <w:start w:val="1"/>
      <w:numFmt w:val="decimal"/>
      <w:lvlText w:val="%1."/>
      <w:lvlJc w:val="left"/>
      <w:pPr>
        <w:tabs>
          <w:tab w:val="num" w:pos="720"/>
        </w:tabs>
        <w:ind w:left="720" w:hanging="360"/>
      </w:pPr>
    </w:lvl>
    <w:lvl w:ilvl="1" w:tplc="89E69E6C" w:tentative="1">
      <w:start w:val="1"/>
      <w:numFmt w:val="decimal"/>
      <w:lvlText w:val="%2."/>
      <w:lvlJc w:val="left"/>
      <w:pPr>
        <w:tabs>
          <w:tab w:val="num" w:pos="1440"/>
        </w:tabs>
        <w:ind w:left="1440" w:hanging="360"/>
      </w:pPr>
    </w:lvl>
    <w:lvl w:ilvl="2" w:tplc="FDD2FD22" w:tentative="1">
      <w:start w:val="1"/>
      <w:numFmt w:val="decimal"/>
      <w:lvlText w:val="%3."/>
      <w:lvlJc w:val="left"/>
      <w:pPr>
        <w:tabs>
          <w:tab w:val="num" w:pos="2160"/>
        </w:tabs>
        <w:ind w:left="2160" w:hanging="360"/>
      </w:pPr>
    </w:lvl>
    <w:lvl w:ilvl="3" w:tplc="CC74140E" w:tentative="1">
      <w:start w:val="1"/>
      <w:numFmt w:val="decimal"/>
      <w:lvlText w:val="%4."/>
      <w:lvlJc w:val="left"/>
      <w:pPr>
        <w:tabs>
          <w:tab w:val="num" w:pos="2880"/>
        </w:tabs>
        <w:ind w:left="2880" w:hanging="360"/>
      </w:pPr>
    </w:lvl>
    <w:lvl w:ilvl="4" w:tplc="E1D2DD7C" w:tentative="1">
      <w:start w:val="1"/>
      <w:numFmt w:val="decimal"/>
      <w:lvlText w:val="%5."/>
      <w:lvlJc w:val="left"/>
      <w:pPr>
        <w:tabs>
          <w:tab w:val="num" w:pos="3600"/>
        </w:tabs>
        <w:ind w:left="3600" w:hanging="360"/>
      </w:pPr>
    </w:lvl>
    <w:lvl w:ilvl="5" w:tplc="9C921830" w:tentative="1">
      <w:start w:val="1"/>
      <w:numFmt w:val="decimal"/>
      <w:lvlText w:val="%6."/>
      <w:lvlJc w:val="left"/>
      <w:pPr>
        <w:tabs>
          <w:tab w:val="num" w:pos="4320"/>
        </w:tabs>
        <w:ind w:left="4320" w:hanging="360"/>
      </w:pPr>
    </w:lvl>
    <w:lvl w:ilvl="6" w:tplc="6242FB2E" w:tentative="1">
      <w:start w:val="1"/>
      <w:numFmt w:val="decimal"/>
      <w:lvlText w:val="%7."/>
      <w:lvlJc w:val="left"/>
      <w:pPr>
        <w:tabs>
          <w:tab w:val="num" w:pos="5040"/>
        </w:tabs>
        <w:ind w:left="5040" w:hanging="360"/>
      </w:pPr>
    </w:lvl>
    <w:lvl w:ilvl="7" w:tplc="C77EC2EE" w:tentative="1">
      <w:start w:val="1"/>
      <w:numFmt w:val="decimal"/>
      <w:lvlText w:val="%8."/>
      <w:lvlJc w:val="left"/>
      <w:pPr>
        <w:tabs>
          <w:tab w:val="num" w:pos="5760"/>
        </w:tabs>
        <w:ind w:left="5760" w:hanging="360"/>
      </w:pPr>
    </w:lvl>
    <w:lvl w:ilvl="8" w:tplc="E0129520" w:tentative="1">
      <w:start w:val="1"/>
      <w:numFmt w:val="decimal"/>
      <w:lvlText w:val="%9."/>
      <w:lvlJc w:val="left"/>
      <w:pPr>
        <w:tabs>
          <w:tab w:val="num" w:pos="6480"/>
        </w:tabs>
        <w:ind w:left="6480" w:hanging="360"/>
      </w:pPr>
    </w:lvl>
  </w:abstractNum>
  <w:abstractNum w:abstractNumId="4">
    <w:nsid w:val="2C00419C"/>
    <w:multiLevelType w:val="hybridMultilevel"/>
    <w:tmpl w:val="84DC8CD6"/>
    <w:lvl w:ilvl="0" w:tplc="845AE102">
      <w:start w:val="1"/>
      <w:numFmt w:val="bullet"/>
      <w:lvlText w:val="•"/>
      <w:lvlJc w:val="left"/>
      <w:pPr>
        <w:tabs>
          <w:tab w:val="num" w:pos="720"/>
        </w:tabs>
        <w:ind w:left="720" w:hanging="360"/>
      </w:pPr>
      <w:rPr>
        <w:rFonts w:ascii="Arial" w:hAnsi="Arial" w:hint="default"/>
      </w:rPr>
    </w:lvl>
    <w:lvl w:ilvl="1" w:tplc="A61AA69C" w:tentative="1">
      <w:start w:val="1"/>
      <w:numFmt w:val="bullet"/>
      <w:lvlText w:val="•"/>
      <w:lvlJc w:val="left"/>
      <w:pPr>
        <w:tabs>
          <w:tab w:val="num" w:pos="1440"/>
        </w:tabs>
        <w:ind w:left="1440" w:hanging="360"/>
      </w:pPr>
      <w:rPr>
        <w:rFonts w:ascii="Arial" w:hAnsi="Arial" w:hint="default"/>
      </w:rPr>
    </w:lvl>
    <w:lvl w:ilvl="2" w:tplc="4380E9D2" w:tentative="1">
      <w:start w:val="1"/>
      <w:numFmt w:val="bullet"/>
      <w:lvlText w:val="•"/>
      <w:lvlJc w:val="left"/>
      <w:pPr>
        <w:tabs>
          <w:tab w:val="num" w:pos="2160"/>
        </w:tabs>
        <w:ind w:left="2160" w:hanging="360"/>
      </w:pPr>
      <w:rPr>
        <w:rFonts w:ascii="Arial" w:hAnsi="Arial" w:hint="default"/>
      </w:rPr>
    </w:lvl>
    <w:lvl w:ilvl="3" w:tplc="A07AF5E8" w:tentative="1">
      <w:start w:val="1"/>
      <w:numFmt w:val="bullet"/>
      <w:lvlText w:val="•"/>
      <w:lvlJc w:val="left"/>
      <w:pPr>
        <w:tabs>
          <w:tab w:val="num" w:pos="2880"/>
        </w:tabs>
        <w:ind w:left="2880" w:hanging="360"/>
      </w:pPr>
      <w:rPr>
        <w:rFonts w:ascii="Arial" w:hAnsi="Arial" w:hint="default"/>
      </w:rPr>
    </w:lvl>
    <w:lvl w:ilvl="4" w:tplc="519C4EC4" w:tentative="1">
      <w:start w:val="1"/>
      <w:numFmt w:val="bullet"/>
      <w:lvlText w:val="•"/>
      <w:lvlJc w:val="left"/>
      <w:pPr>
        <w:tabs>
          <w:tab w:val="num" w:pos="3600"/>
        </w:tabs>
        <w:ind w:left="3600" w:hanging="360"/>
      </w:pPr>
      <w:rPr>
        <w:rFonts w:ascii="Arial" w:hAnsi="Arial" w:hint="default"/>
      </w:rPr>
    </w:lvl>
    <w:lvl w:ilvl="5" w:tplc="241EDC9E" w:tentative="1">
      <w:start w:val="1"/>
      <w:numFmt w:val="bullet"/>
      <w:lvlText w:val="•"/>
      <w:lvlJc w:val="left"/>
      <w:pPr>
        <w:tabs>
          <w:tab w:val="num" w:pos="4320"/>
        </w:tabs>
        <w:ind w:left="4320" w:hanging="360"/>
      </w:pPr>
      <w:rPr>
        <w:rFonts w:ascii="Arial" w:hAnsi="Arial" w:hint="default"/>
      </w:rPr>
    </w:lvl>
    <w:lvl w:ilvl="6" w:tplc="248C5640" w:tentative="1">
      <w:start w:val="1"/>
      <w:numFmt w:val="bullet"/>
      <w:lvlText w:val="•"/>
      <w:lvlJc w:val="left"/>
      <w:pPr>
        <w:tabs>
          <w:tab w:val="num" w:pos="5040"/>
        </w:tabs>
        <w:ind w:left="5040" w:hanging="360"/>
      </w:pPr>
      <w:rPr>
        <w:rFonts w:ascii="Arial" w:hAnsi="Arial" w:hint="default"/>
      </w:rPr>
    </w:lvl>
    <w:lvl w:ilvl="7" w:tplc="64A22F10" w:tentative="1">
      <w:start w:val="1"/>
      <w:numFmt w:val="bullet"/>
      <w:lvlText w:val="•"/>
      <w:lvlJc w:val="left"/>
      <w:pPr>
        <w:tabs>
          <w:tab w:val="num" w:pos="5760"/>
        </w:tabs>
        <w:ind w:left="5760" w:hanging="360"/>
      </w:pPr>
      <w:rPr>
        <w:rFonts w:ascii="Arial" w:hAnsi="Arial" w:hint="default"/>
      </w:rPr>
    </w:lvl>
    <w:lvl w:ilvl="8" w:tplc="E454F2D2" w:tentative="1">
      <w:start w:val="1"/>
      <w:numFmt w:val="bullet"/>
      <w:lvlText w:val="•"/>
      <w:lvlJc w:val="left"/>
      <w:pPr>
        <w:tabs>
          <w:tab w:val="num" w:pos="6480"/>
        </w:tabs>
        <w:ind w:left="6480" w:hanging="360"/>
      </w:pPr>
      <w:rPr>
        <w:rFonts w:ascii="Arial" w:hAnsi="Arial" w:hint="default"/>
      </w:rPr>
    </w:lvl>
  </w:abstractNum>
  <w:abstractNum w:abstractNumId="5">
    <w:nsid w:val="2DA83BF2"/>
    <w:multiLevelType w:val="hybridMultilevel"/>
    <w:tmpl w:val="FC8884EE"/>
    <w:lvl w:ilvl="0" w:tplc="03AE9188">
      <w:start w:val="1"/>
      <w:numFmt w:val="bullet"/>
      <w:lvlText w:val="•"/>
      <w:lvlJc w:val="left"/>
      <w:pPr>
        <w:tabs>
          <w:tab w:val="num" w:pos="720"/>
        </w:tabs>
        <w:ind w:left="720" w:hanging="360"/>
      </w:pPr>
      <w:rPr>
        <w:rFonts w:ascii="Arial" w:hAnsi="Arial" w:hint="default"/>
      </w:rPr>
    </w:lvl>
    <w:lvl w:ilvl="1" w:tplc="802EDDEE" w:tentative="1">
      <w:start w:val="1"/>
      <w:numFmt w:val="bullet"/>
      <w:lvlText w:val="•"/>
      <w:lvlJc w:val="left"/>
      <w:pPr>
        <w:tabs>
          <w:tab w:val="num" w:pos="1440"/>
        </w:tabs>
        <w:ind w:left="1440" w:hanging="360"/>
      </w:pPr>
      <w:rPr>
        <w:rFonts w:ascii="Arial" w:hAnsi="Arial" w:hint="default"/>
      </w:rPr>
    </w:lvl>
    <w:lvl w:ilvl="2" w:tplc="9FC0F2E4" w:tentative="1">
      <w:start w:val="1"/>
      <w:numFmt w:val="bullet"/>
      <w:lvlText w:val="•"/>
      <w:lvlJc w:val="left"/>
      <w:pPr>
        <w:tabs>
          <w:tab w:val="num" w:pos="2160"/>
        </w:tabs>
        <w:ind w:left="2160" w:hanging="360"/>
      </w:pPr>
      <w:rPr>
        <w:rFonts w:ascii="Arial" w:hAnsi="Arial" w:hint="default"/>
      </w:rPr>
    </w:lvl>
    <w:lvl w:ilvl="3" w:tplc="949455FE" w:tentative="1">
      <w:start w:val="1"/>
      <w:numFmt w:val="bullet"/>
      <w:lvlText w:val="•"/>
      <w:lvlJc w:val="left"/>
      <w:pPr>
        <w:tabs>
          <w:tab w:val="num" w:pos="2880"/>
        </w:tabs>
        <w:ind w:left="2880" w:hanging="360"/>
      </w:pPr>
      <w:rPr>
        <w:rFonts w:ascii="Arial" w:hAnsi="Arial" w:hint="default"/>
      </w:rPr>
    </w:lvl>
    <w:lvl w:ilvl="4" w:tplc="6052C408" w:tentative="1">
      <w:start w:val="1"/>
      <w:numFmt w:val="bullet"/>
      <w:lvlText w:val="•"/>
      <w:lvlJc w:val="left"/>
      <w:pPr>
        <w:tabs>
          <w:tab w:val="num" w:pos="3600"/>
        </w:tabs>
        <w:ind w:left="3600" w:hanging="360"/>
      </w:pPr>
      <w:rPr>
        <w:rFonts w:ascii="Arial" w:hAnsi="Arial" w:hint="default"/>
      </w:rPr>
    </w:lvl>
    <w:lvl w:ilvl="5" w:tplc="0CA688EA" w:tentative="1">
      <w:start w:val="1"/>
      <w:numFmt w:val="bullet"/>
      <w:lvlText w:val="•"/>
      <w:lvlJc w:val="left"/>
      <w:pPr>
        <w:tabs>
          <w:tab w:val="num" w:pos="4320"/>
        </w:tabs>
        <w:ind w:left="4320" w:hanging="360"/>
      </w:pPr>
      <w:rPr>
        <w:rFonts w:ascii="Arial" w:hAnsi="Arial" w:hint="default"/>
      </w:rPr>
    </w:lvl>
    <w:lvl w:ilvl="6" w:tplc="0FA6B754" w:tentative="1">
      <w:start w:val="1"/>
      <w:numFmt w:val="bullet"/>
      <w:lvlText w:val="•"/>
      <w:lvlJc w:val="left"/>
      <w:pPr>
        <w:tabs>
          <w:tab w:val="num" w:pos="5040"/>
        </w:tabs>
        <w:ind w:left="5040" w:hanging="360"/>
      </w:pPr>
      <w:rPr>
        <w:rFonts w:ascii="Arial" w:hAnsi="Arial" w:hint="default"/>
      </w:rPr>
    </w:lvl>
    <w:lvl w:ilvl="7" w:tplc="87568674" w:tentative="1">
      <w:start w:val="1"/>
      <w:numFmt w:val="bullet"/>
      <w:lvlText w:val="•"/>
      <w:lvlJc w:val="left"/>
      <w:pPr>
        <w:tabs>
          <w:tab w:val="num" w:pos="5760"/>
        </w:tabs>
        <w:ind w:left="5760" w:hanging="360"/>
      </w:pPr>
      <w:rPr>
        <w:rFonts w:ascii="Arial" w:hAnsi="Arial" w:hint="default"/>
      </w:rPr>
    </w:lvl>
    <w:lvl w:ilvl="8" w:tplc="AAF64C36" w:tentative="1">
      <w:start w:val="1"/>
      <w:numFmt w:val="bullet"/>
      <w:lvlText w:val="•"/>
      <w:lvlJc w:val="left"/>
      <w:pPr>
        <w:tabs>
          <w:tab w:val="num" w:pos="6480"/>
        </w:tabs>
        <w:ind w:left="6480" w:hanging="360"/>
      </w:pPr>
      <w:rPr>
        <w:rFonts w:ascii="Arial" w:hAnsi="Arial" w:hint="default"/>
      </w:rPr>
    </w:lvl>
  </w:abstractNum>
  <w:abstractNum w:abstractNumId="6">
    <w:nsid w:val="2E162FA6"/>
    <w:multiLevelType w:val="hybridMultilevel"/>
    <w:tmpl w:val="66F406C4"/>
    <w:lvl w:ilvl="0" w:tplc="CB481FF2">
      <w:start w:val="1"/>
      <w:numFmt w:val="bullet"/>
      <w:lvlText w:val="•"/>
      <w:lvlJc w:val="left"/>
      <w:pPr>
        <w:tabs>
          <w:tab w:val="num" w:pos="720"/>
        </w:tabs>
        <w:ind w:left="720" w:hanging="360"/>
      </w:pPr>
      <w:rPr>
        <w:rFonts w:ascii="Arial" w:hAnsi="Arial" w:hint="default"/>
      </w:rPr>
    </w:lvl>
    <w:lvl w:ilvl="1" w:tplc="F272B1A0" w:tentative="1">
      <w:start w:val="1"/>
      <w:numFmt w:val="bullet"/>
      <w:lvlText w:val="•"/>
      <w:lvlJc w:val="left"/>
      <w:pPr>
        <w:tabs>
          <w:tab w:val="num" w:pos="1440"/>
        </w:tabs>
        <w:ind w:left="1440" w:hanging="360"/>
      </w:pPr>
      <w:rPr>
        <w:rFonts w:ascii="Arial" w:hAnsi="Arial" w:hint="default"/>
      </w:rPr>
    </w:lvl>
    <w:lvl w:ilvl="2" w:tplc="C916035A" w:tentative="1">
      <w:start w:val="1"/>
      <w:numFmt w:val="bullet"/>
      <w:lvlText w:val="•"/>
      <w:lvlJc w:val="left"/>
      <w:pPr>
        <w:tabs>
          <w:tab w:val="num" w:pos="2160"/>
        </w:tabs>
        <w:ind w:left="2160" w:hanging="360"/>
      </w:pPr>
      <w:rPr>
        <w:rFonts w:ascii="Arial" w:hAnsi="Arial" w:hint="default"/>
      </w:rPr>
    </w:lvl>
    <w:lvl w:ilvl="3" w:tplc="E8B63DF4" w:tentative="1">
      <w:start w:val="1"/>
      <w:numFmt w:val="bullet"/>
      <w:lvlText w:val="•"/>
      <w:lvlJc w:val="left"/>
      <w:pPr>
        <w:tabs>
          <w:tab w:val="num" w:pos="2880"/>
        </w:tabs>
        <w:ind w:left="2880" w:hanging="360"/>
      </w:pPr>
      <w:rPr>
        <w:rFonts w:ascii="Arial" w:hAnsi="Arial" w:hint="default"/>
      </w:rPr>
    </w:lvl>
    <w:lvl w:ilvl="4" w:tplc="31C852A8" w:tentative="1">
      <w:start w:val="1"/>
      <w:numFmt w:val="bullet"/>
      <w:lvlText w:val="•"/>
      <w:lvlJc w:val="left"/>
      <w:pPr>
        <w:tabs>
          <w:tab w:val="num" w:pos="3600"/>
        </w:tabs>
        <w:ind w:left="3600" w:hanging="360"/>
      </w:pPr>
      <w:rPr>
        <w:rFonts w:ascii="Arial" w:hAnsi="Arial" w:hint="default"/>
      </w:rPr>
    </w:lvl>
    <w:lvl w:ilvl="5" w:tplc="7F2EA8EC" w:tentative="1">
      <w:start w:val="1"/>
      <w:numFmt w:val="bullet"/>
      <w:lvlText w:val="•"/>
      <w:lvlJc w:val="left"/>
      <w:pPr>
        <w:tabs>
          <w:tab w:val="num" w:pos="4320"/>
        </w:tabs>
        <w:ind w:left="4320" w:hanging="360"/>
      </w:pPr>
      <w:rPr>
        <w:rFonts w:ascii="Arial" w:hAnsi="Arial" w:hint="default"/>
      </w:rPr>
    </w:lvl>
    <w:lvl w:ilvl="6" w:tplc="D93EC5AC" w:tentative="1">
      <w:start w:val="1"/>
      <w:numFmt w:val="bullet"/>
      <w:lvlText w:val="•"/>
      <w:lvlJc w:val="left"/>
      <w:pPr>
        <w:tabs>
          <w:tab w:val="num" w:pos="5040"/>
        </w:tabs>
        <w:ind w:left="5040" w:hanging="360"/>
      </w:pPr>
      <w:rPr>
        <w:rFonts w:ascii="Arial" w:hAnsi="Arial" w:hint="default"/>
      </w:rPr>
    </w:lvl>
    <w:lvl w:ilvl="7" w:tplc="0220C692" w:tentative="1">
      <w:start w:val="1"/>
      <w:numFmt w:val="bullet"/>
      <w:lvlText w:val="•"/>
      <w:lvlJc w:val="left"/>
      <w:pPr>
        <w:tabs>
          <w:tab w:val="num" w:pos="5760"/>
        </w:tabs>
        <w:ind w:left="5760" w:hanging="360"/>
      </w:pPr>
      <w:rPr>
        <w:rFonts w:ascii="Arial" w:hAnsi="Arial" w:hint="default"/>
      </w:rPr>
    </w:lvl>
    <w:lvl w:ilvl="8" w:tplc="60F2A60C" w:tentative="1">
      <w:start w:val="1"/>
      <w:numFmt w:val="bullet"/>
      <w:lvlText w:val="•"/>
      <w:lvlJc w:val="left"/>
      <w:pPr>
        <w:tabs>
          <w:tab w:val="num" w:pos="6480"/>
        </w:tabs>
        <w:ind w:left="6480" w:hanging="360"/>
      </w:pPr>
      <w:rPr>
        <w:rFonts w:ascii="Arial" w:hAnsi="Arial" w:hint="default"/>
      </w:rPr>
    </w:lvl>
  </w:abstractNum>
  <w:abstractNum w:abstractNumId="7">
    <w:nsid w:val="35C91641"/>
    <w:multiLevelType w:val="hybridMultilevel"/>
    <w:tmpl w:val="E5522606"/>
    <w:lvl w:ilvl="0" w:tplc="FEF22D58">
      <w:start w:val="1"/>
      <w:numFmt w:val="bullet"/>
      <w:lvlText w:val="•"/>
      <w:lvlJc w:val="left"/>
      <w:pPr>
        <w:tabs>
          <w:tab w:val="num" w:pos="720"/>
        </w:tabs>
        <w:ind w:left="720" w:hanging="360"/>
      </w:pPr>
      <w:rPr>
        <w:rFonts w:ascii="Arial" w:hAnsi="Arial" w:hint="default"/>
      </w:rPr>
    </w:lvl>
    <w:lvl w:ilvl="1" w:tplc="16F8A5B2" w:tentative="1">
      <w:start w:val="1"/>
      <w:numFmt w:val="bullet"/>
      <w:lvlText w:val="•"/>
      <w:lvlJc w:val="left"/>
      <w:pPr>
        <w:tabs>
          <w:tab w:val="num" w:pos="1440"/>
        </w:tabs>
        <w:ind w:left="1440" w:hanging="360"/>
      </w:pPr>
      <w:rPr>
        <w:rFonts w:ascii="Arial" w:hAnsi="Arial" w:hint="default"/>
      </w:rPr>
    </w:lvl>
    <w:lvl w:ilvl="2" w:tplc="138657B6" w:tentative="1">
      <w:start w:val="1"/>
      <w:numFmt w:val="bullet"/>
      <w:lvlText w:val="•"/>
      <w:lvlJc w:val="left"/>
      <w:pPr>
        <w:tabs>
          <w:tab w:val="num" w:pos="2160"/>
        </w:tabs>
        <w:ind w:left="2160" w:hanging="360"/>
      </w:pPr>
      <w:rPr>
        <w:rFonts w:ascii="Arial" w:hAnsi="Arial" w:hint="default"/>
      </w:rPr>
    </w:lvl>
    <w:lvl w:ilvl="3" w:tplc="49FCD5FC" w:tentative="1">
      <w:start w:val="1"/>
      <w:numFmt w:val="bullet"/>
      <w:lvlText w:val="•"/>
      <w:lvlJc w:val="left"/>
      <w:pPr>
        <w:tabs>
          <w:tab w:val="num" w:pos="2880"/>
        </w:tabs>
        <w:ind w:left="2880" w:hanging="360"/>
      </w:pPr>
      <w:rPr>
        <w:rFonts w:ascii="Arial" w:hAnsi="Arial" w:hint="default"/>
      </w:rPr>
    </w:lvl>
    <w:lvl w:ilvl="4" w:tplc="D7BCCBD2" w:tentative="1">
      <w:start w:val="1"/>
      <w:numFmt w:val="bullet"/>
      <w:lvlText w:val="•"/>
      <w:lvlJc w:val="left"/>
      <w:pPr>
        <w:tabs>
          <w:tab w:val="num" w:pos="3600"/>
        </w:tabs>
        <w:ind w:left="3600" w:hanging="360"/>
      </w:pPr>
      <w:rPr>
        <w:rFonts w:ascii="Arial" w:hAnsi="Arial" w:hint="default"/>
      </w:rPr>
    </w:lvl>
    <w:lvl w:ilvl="5" w:tplc="C8842E02" w:tentative="1">
      <w:start w:val="1"/>
      <w:numFmt w:val="bullet"/>
      <w:lvlText w:val="•"/>
      <w:lvlJc w:val="left"/>
      <w:pPr>
        <w:tabs>
          <w:tab w:val="num" w:pos="4320"/>
        </w:tabs>
        <w:ind w:left="4320" w:hanging="360"/>
      </w:pPr>
      <w:rPr>
        <w:rFonts w:ascii="Arial" w:hAnsi="Arial" w:hint="default"/>
      </w:rPr>
    </w:lvl>
    <w:lvl w:ilvl="6" w:tplc="75D29696" w:tentative="1">
      <w:start w:val="1"/>
      <w:numFmt w:val="bullet"/>
      <w:lvlText w:val="•"/>
      <w:lvlJc w:val="left"/>
      <w:pPr>
        <w:tabs>
          <w:tab w:val="num" w:pos="5040"/>
        </w:tabs>
        <w:ind w:left="5040" w:hanging="360"/>
      </w:pPr>
      <w:rPr>
        <w:rFonts w:ascii="Arial" w:hAnsi="Arial" w:hint="default"/>
      </w:rPr>
    </w:lvl>
    <w:lvl w:ilvl="7" w:tplc="9D84592C" w:tentative="1">
      <w:start w:val="1"/>
      <w:numFmt w:val="bullet"/>
      <w:lvlText w:val="•"/>
      <w:lvlJc w:val="left"/>
      <w:pPr>
        <w:tabs>
          <w:tab w:val="num" w:pos="5760"/>
        </w:tabs>
        <w:ind w:left="5760" w:hanging="360"/>
      </w:pPr>
      <w:rPr>
        <w:rFonts w:ascii="Arial" w:hAnsi="Arial" w:hint="default"/>
      </w:rPr>
    </w:lvl>
    <w:lvl w:ilvl="8" w:tplc="63120E92" w:tentative="1">
      <w:start w:val="1"/>
      <w:numFmt w:val="bullet"/>
      <w:lvlText w:val="•"/>
      <w:lvlJc w:val="left"/>
      <w:pPr>
        <w:tabs>
          <w:tab w:val="num" w:pos="6480"/>
        </w:tabs>
        <w:ind w:left="6480" w:hanging="360"/>
      </w:pPr>
      <w:rPr>
        <w:rFonts w:ascii="Arial" w:hAnsi="Arial" w:hint="default"/>
      </w:rPr>
    </w:lvl>
  </w:abstractNum>
  <w:abstractNum w:abstractNumId="8">
    <w:nsid w:val="44CB7474"/>
    <w:multiLevelType w:val="hybridMultilevel"/>
    <w:tmpl w:val="9DE60C10"/>
    <w:lvl w:ilvl="0" w:tplc="0BAADBF2">
      <w:start w:val="1"/>
      <w:numFmt w:val="bullet"/>
      <w:lvlText w:val="•"/>
      <w:lvlJc w:val="left"/>
      <w:pPr>
        <w:tabs>
          <w:tab w:val="num" w:pos="720"/>
        </w:tabs>
        <w:ind w:left="720" w:hanging="360"/>
      </w:pPr>
      <w:rPr>
        <w:rFonts w:ascii="Arial" w:hAnsi="Arial" w:hint="default"/>
      </w:rPr>
    </w:lvl>
    <w:lvl w:ilvl="1" w:tplc="4EA0D8EA" w:tentative="1">
      <w:start w:val="1"/>
      <w:numFmt w:val="bullet"/>
      <w:lvlText w:val="•"/>
      <w:lvlJc w:val="left"/>
      <w:pPr>
        <w:tabs>
          <w:tab w:val="num" w:pos="1440"/>
        </w:tabs>
        <w:ind w:left="1440" w:hanging="360"/>
      </w:pPr>
      <w:rPr>
        <w:rFonts w:ascii="Arial" w:hAnsi="Arial" w:hint="default"/>
      </w:rPr>
    </w:lvl>
    <w:lvl w:ilvl="2" w:tplc="32E85060" w:tentative="1">
      <w:start w:val="1"/>
      <w:numFmt w:val="bullet"/>
      <w:lvlText w:val="•"/>
      <w:lvlJc w:val="left"/>
      <w:pPr>
        <w:tabs>
          <w:tab w:val="num" w:pos="2160"/>
        </w:tabs>
        <w:ind w:left="2160" w:hanging="360"/>
      </w:pPr>
      <w:rPr>
        <w:rFonts w:ascii="Arial" w:hAnsi="Arial" w:hint="default"/>
      </w:rPr>
    </w:lvl>
    <w:lvl w:ilvl="3" w:tplc="F93027A0" w:tentative="1">
      <w:start w:val="1"/>
      <w:numFmt w:val="bullet"/>
      <w:lvlText w:val="•"/>
      <w:lvlJc w:val="left"/>
      <w:pPr>
        <w:tabs>
          <w:tab w:val="num" w:pos="2880"/>
        </w:tabs>
        <w:ind w:left="2880" w:hanging="360"/>
      </w:pPr>
      <w:rPr>
        <w:rFonts w:ascii="Arial" w:hAnsi="Arial" w:hint="default"/>
      </w:rPr>
    </w:lvl>
    <w:lvl w:ilvl="4" w:tplc="A84E5518" w:tentative="1">
      <w:start w:val="1"/>
      <w:numFmt w:val="bullet"/>
      <w:lvlText w:val="•"/>
      <w:lvlJc w:val="left"/>
      <w:pPr>
        <w:tabs>
          <w:tab w:val="num" w:pos="3600"/>
        </w:tabs>
        <w:ind w:left="3600" w:hanging="360"/>
      </w:pPr>
      <w:rPr>
        <w:rFonts w:ascii="Arial" w:hAnsi="Arial" w:hint="default"/>
      </w:rPr>
    </w:lvl>
    <w:lvl w:ilvl="5" w:tplc="06CC05C4" w:tentative="1">
      <w:start w:val="1"/>
      <w:numFmt w:val="bullet"/>
      <w:lvlText w:val="•"/>
      <w:lvlJc w:val="left"/>
      <w:pPr>
        <w:tabs>
          <w:tab w:val="num" w:pos="4320"/>
        </w:tabs>
        <w:ind w:left="4320" w:hanging="360"/>
      </w:pPr>
      <w:rPr>
        <w:rFonts w:ascii="Arial" w:hAnsi="Arial" w:hint="default"/>
      </w:rPr>
    </w:lvl>
    <w:lvl w:ilvl="6" w:tplc="B38EE7E6" w:tentative="1">
      <w:start w:val="1"/>
      <w:numFmt w:val="bullet"/>
      <w:lvlText w:val="•"/>
      <w:lvlJc w:val="left"/>
      <w:pPr>
        <w:tabs>
          <w:tab w:val="num" w:pos="5040"/>
        </w:tabs>
        <w:ind w:left="5040" w:hanging="360"/>
      </w:pPr>
      <w:rPr>
        <w:rFonts w:ascii="Arial" w:hAnsi="Arial" w:hint="default"/>
      </w:rPr>
    </w:lvl>
    <w:lvl w:ilvl="7" w:tplc="1E16AE06" w:tentative="1">
      <w:start w:val="1"/>
      <w:numFmt w:val="bullet"/>
      <w:lvlText w:val="•"/>
      <w:lvlJc w:val="left"/>
      <w:pPr>
        <w:tabs>
          <w:tab w:val="num" w:pos="5760"/>
        </w:tabs>
        <w:ind w:left="5760" w:hanging="360"/>
      </w:pPr>
      <w:rPr>
        <w:rFonts w:ascii="Arial" w:hAnsi="Arial" w:hint="default"/>
      </w:rPr>
    </w:lvl>
    <w:lvl w:ilvl="8" w:tplc="A9CA1ACE" w:tentative="1">
      <w:start w:val="1"/>
      <w:numFmt w:val="bullet"/>
      <w:lvlText w:val="•"/>
      <w:lvlJc w:val="left"/>
      <w:pPr>
        <w:tabs>
          <w:tab w:val="num" w:pos="6480"/>
        </w:tabs>
        <w:ind w:left="6480" w:hanging="360"/>
      </w:pPr>
      <w:rPr>
        <w:rFonts w:ascii="Arial" w:hAnsi="Arial" w:hint="default"/>
      </w:rPr>
    </w:lvl>
  </w:abstractNum>
  <w:abstractNum w:abstractNumId="9">
    <w:nsid w:val="463C37A9"/>
    <w:multiLevelType w:val="hybridMultilevel"/>
    <w:tmpl w:val="376C786A"/>
    <w:lvl w:ilvl="0" w:tplc="DDBE8482">
      <w:start w:val="1"/>
      <w:numFmt w:val="bullet"/>
      <w:lvlText w:val="•"/>
      <w:lvlJc w:val="left"/>
      <w:pPr>
        <w:tabs>
          <w:tab w:val="num" w:pos="720"/>
        </w:tabs>
        <w:ind w:left="720" w:hanging="360"/>
      </w:pPr>
      <w:rPr>
        <w:rFonts w:ascii="Arial" w:hAnsi="Arial" w:hint="default"/>
      </w:rPr>
    </w:lvl>
    <w:lvl w:ilvl="1" w:tplc="DF3CA258" w:tentative="1">
      <w:start w:val="1"/>
      <w:numFmt w:val="bullet"/>
      <w:lvlText w:val="•"/>
      <w:lvlJc w:val="left"/>
      <w:pPr>
        <w:tabs>
          <w:tab w:val="num" w:pos="1440"/>
        </w:tabs>
        <w:ind w:left="1440" w:hanging="360"/>
      </w:pPr>
      <w:rPr>
        <w:rFonts w:ascii="Arial" w:hAnsi="Arial" w:hint="default"/>
      </w:rPr>
    </w:lvl>
    <w:lvl w:ilvl="2" w:tplc="95E01DB8" w:tentative="1">
      <w:start w:val="1"/>
      <w:numFmt w:val="bullet"/>
      <w:lvlText w:val="•"/>
      <w:lvlJc w:val="left"/>
      <w:pPr>
        <w:tabs>
          <w:tab w:val="num" w:pos="2160"/>
        </w:tabs>
        <w:ind w:left="2160" w:hanging="360"/>
      </w:pPr>
      <w:rPr>
        <w:rFonts w:ascii="Arial" w:hAnsi="Arial" w:hint="default"/>
      </w:rPr>
    </w:lvl>
    <w:lvl w:ilvl="3" w:tplc="7CCAF044" w:tentative="1">
      <w:start w:val="1"/>
      <w:numFmt w:val="bullet"/>
      <w:lvlText w:val="•"/>
      <w:lvlJc w:val="left"/>
      <w:pPr>
        <w:tabs>
          <w:tab w:val="num" w:pos="2880"/>
        </w:tabs>
        <w:ind w:left="2880" w:hanging="360"/>
      </w:pPr>
      <w:rPr>
        <w:rFonts w:ascii="Arial" w:hAnsi="Arial" w:hint="default"/>
      </w:rPr>
    </w:lvl>
    <w:lvl w:ilvl="4" w:tplc="02025214" w:tentative="1">
      <w:start w:val="1"/>
      <w:numFmt w:val="bullet"/>
      <w:lvlText w:val="•"/>
      <w:lvlJc w:val="left"/>
      <w:pPr>
        <w:tabs>
          <w:tab w:val="num" w:pos="3600"/>
        </w:tabs>
        <w:ind w:left="3600" w:hanging="360"/>
      </w:pPr>
      <w:rPr>
        <w:rFonts w:ascii="Arial" w:hAnsi="Arial" w:hint="default"/>
      </w:rPr>
    </w:lvl>
    <w:lvl w:ilvl="5" w:tplc="615C5F22" w:tentative="1">
      <w:start w:val="1"/>
      <w:numFmt w:val="bullet"/>
      <w:lvlText w:val="•"/>
      <w:lvlJc w:val="left"/>
      <w:pPr>
        <w:tabs>
          <w:tab w:val="num" w:pos="4320"/>
        </w:tabs>
        <w:ind w:left="4320" w:hanging="360"/>
      </w:pPr>
      <w:rPr>
        <w:rFonts w:ascii="Arial" w:hAnsi="Arial" w:hint="default"/>
      </w:rPr>
    </w:lvl>
    <w:lvl w:ilvl="6" w:tplc="25742620" w:tentative="1">
      <w:start w:val="1"/>
      <w:numFmt w:val="bullet"/>
      <w:lvlText w:val="•"/>
      <w:lvlJc w:val="left"/>
      <w:pPr>
        <w:tabs>
          <w:tab w:val="num" w:pos="5040"/>
        </w:tabs>
        <w:ind w:left="5040" w:hanging="360"/>
      </w:pPr>
      <w:rPr>
        <w:rFonts w:ascii="Arial" w:hAnsi="Arial" w:hint="default"/>
      </w:rPr>
    </w:lvl>
    <w:lvl w:ilvl="7" w:tplc="E2D2279A" w:tentative="1">
      <w:start w:val="1"/>
      <w:numFmt w:val="bullet"/>
      <w:lvlText w:val="•"/>
      <w:lvlJc w:val="left"/>
      <w:pPr>
        <w:tabs>
          <w:tab w:val="num" w:pos="5760"/>
        </w:tabs>
        <w:ind w:left="5760" w:hanging="360"/>
      </w:pPr>
      <w:rPr>
        <w:rFonts w:ascii="Arial" w:hAnsi="Arial" w:hint="default"/>
      </w:rPr>
    </w:lvl>
    <w:lvl w:ilvl="8" w:tplc="A13AC240" w:tentative="1">
      <w:start w:val="1"/>
      <w:numFmt w:val="bullet"/>
      <w:lvlText w:val="•"/>
      <w:lvlJc w:val="left"/>
      <w:pPr>
        <w:tabs>
          <w:tab w:val="num" w:pos="6480"/>
        </w:tabs>
        <w:ind w:left="6480" w:hanging="360"/>
      </w:pPr>
      <w:rPr>
        <w:rFonts w:ascii="Arial" w:hAnsi="Arial" w:hint="default"/>
      </w:rPr>
    </w:lvl>
  </w:abstractNum>
  <w:abstractNum w:abstractNumId="10">
    <w:nsid w:val="508B3DE2"/>
    <w:multiLevelType w:val="hybridMultilevel"/>
    <w:tmpl w:val="923A5E9E"/>
    <w:lvl w:ilvl="0" w:tplc="3F1699F2">
      <w:start w:val="1"/>
      <w:numFmt w:val="bullet"/>
      <w:lvlText w:val="•"/>
      <w:lvlJc w:val="left"/>
      <w:pPr>
        <w:tabs>
          <w:tab w:val="num" w:pos="720"/>
        </w:tabs>
        <w:ind w:left="720" w:hanging="360"/>
      </w:pPr>
      <w:rPr>
        <w:rFonts w:ascii="Arial" w:hAnsi="Arial" w:hint="default"/>
      </w:rPr>
    </w:lvl>
    <w:lvl w:ilvl="1" w:tplc="6AD84B68" w:tentative="1">
      <w:start w:val="1"/>
      <w:numFmt w:val="bullet"/>
      <w:lvlText w:val="•"/>
      <w:lvlJc w:val="left"/>
      <w:pPr>
        <w:tabs>
          <w:tab w:val="num" w:pos="1440"/>
        </w:tabs>
        <w:ind w:left="1440" w:hanging="360"/>
      </w:pPr>
      <w:rPr>
        <w:rFonts w:ascii="Arial" w:hAnsi="Arial" w:hint="default"/>
      </w:rPr>
    </w:lvl>
    <w:lvl w:ilvl="2" w:tplc="66F6655E" w:tentative="1">
      <w:start w:val="1"/>
      <w:numFmt w:val="bullet"/>
      <w:lvlText w:val="•"/>
      <w:lvlJc w:val="left"/>
      <w:pPr>
        <w:tabs>
          <w:tab w:val="num" w:pos="2160"/>
        </w:tabs>
        <w:ind w:left="2160" w:hanging="360"/>
      </w:pPr>
      <w:rPr>
        <w:rFonts w:ascii="Arial" w:hAnsi="Arial" w:hint="default"/>
      </w:rPr>
    </w:lvl>
    <w:lvl w:ilvl="3" w:tplc="67161BA4" w:tentative="1">
      <w:start w:val="1"/>
      <w:numFmt w:val="bullet"/>
      <w:lvlText w:val="•"/>
      <w:lvlJc w:val="left"/>
      <w:pPr>
        <w:tabs>
          <w:tab w:val="num" w:pos="2880"/>
        </w:tabs>
        <w:ind w:left="2880" w:hanging="360"/>
      </w:pPr>
      <w:rPr>
        <w:rFonts w:ascii="Arial" w:hAnsi="Arial" w:hint="default"/>
      </w:rPr>
    </w:lvl>
    <w:lvl w:ilvl="4" w:tplc="A2D2BA9A" w:tentative="1">
      <w:start w:val="1"/>
      <w:numFmt w:val="bullet"/>
      <w:lvlText w:val="•"/>
      <w:lvlJc w:val="left"/>
      <w:pPr>
        <w:tabs>
          <w:tab w:val="num" w:pos="3600"/>
        </w:tabs>
        <w:ind w:left="3600" w:hanging="360"/>
      </w:pPr>
      <w:rPr>
        <w:rFonts w:ascii="Arial" w:hAnsi="Arial" w:hint="default"/>
      </w:rPr>
    </w:lvl>
    <w:lvl w:ilvl="5" w:tplc="5060D12C" w:tentative="1">
      <w:start w:val="1"/>
      <w:numFmt w:val="bullet"/>
      <w:lvlText w:val="•"/>
      <w:lvlJc w:val="left"/>
      <w:pPr>
        <w:tabs>
          <w:tab w:val="num" w:pos="4320"/>
        </w:tabs>
        <w:ind w:left="4320" w:hanging="360"/>
      </w:pPr>
      <w:rPr>
        <w:rFonts w:ascii="Arial" w:hAnsi="Arial" w:hint="default"/>
      </w:rPr>
    </w:lvl>
    <w:lvl w:ilvl="6" w:tplc="425C258C" w:tentative="1">
      <w:start w:val="1"/>
      <w:numFmt w:val="bullet"/>
      <w:lvlText w:val="•"/>
      <w:lvlJc w:val="left"/>
      <w:pPr>
        <w:tabs>
          <w:tab w:val="num" w:pos="5040"/>
        </w:tabs>
        <w:ind w:left="5040" w:hanging="360"/>
      </w:pPr>
      <w:rPr>
        <w:rFonts w:ascii="Arial" w:hAnsi="Arial" w:hint="default"/>
      </w:rPr>
    </w:lvl>
    <w:lvl w:ilvl="7" w:tplc="E620E3CA" w:tentative="1">
      <w:start w:val="1"/>
      <w:numFmt w:val="bullet"/>
      <w:lvlText w:val="•"/>
      <w:lvlJc w:val="left"/>
      <w:pPr>
        <w:tabs>
          <w:tab w:val="num" w:pos="5760"/>
        </w:tabs>
        <w:ind w:left="5760" w:hanging="360"/>
      </w:pPr>
      <w:rPr>
        <w:rFonts w:ascii="Arial" w:hAnsi="Arial" w:hint="default"/>
      </w:rPr>
    </w:lvl>
    <w:lvl w:ilvl="8" w:tplc="4216BE48" w:tentative="1">
      <w:start w:val="1"/>
      <w:numFmt w:val="bullet"/>
      <w:lvlText w:val="•"/>
      <w:lvlJc w:val="left"/>
      <w:pPr>
        <w:tabs>
          <w:tab w:val="num" w:pos="6480"/>
        </w:tabs>
        <w:ind w:left="6480" w:hanging="360"/>
      </w:pPr>
      <w:rPr>
        <w:rFonts w:ascii="Arial" w:hAnsi="Arial" w:hint="default"/>
      </w:rPr>
    </w:lvl>
  </w:abstractNum>
  <w:abstractNum w:abstractNumId="11">
    <w:nsid w:val="5663553D"/>
    <w:multiLevelType w:val="hybridMultilevel"/>
    <w:tmpl w:val="8D903462"/>
    <w:lvl w:ilvl="0" w:tplc="05D03A1A">
      <w:start w:val="1"/>
      <w:numFmt w:val="decimal"/>
      <w:lvlText w:val="%1."/>
      <w:lvlJc w:val="left"/>
      <w:pPr>
        <w:tabs>
          <w:tab w:val="num" w:pos="720"/>
        </w:tabs>
        <w:ind w:left="720" w:hanging="360"/>
      </w:pPr>
    </w:lvl>
    <w:lvl w:ilvl="1" w:tplc="84D085C6" w:tentative="1">
      <w:start w:val="1"/>
      <w:numFmt w:val="decimal"/>
      <w:lvlText w:val="%2."/>
      <w:lvlJc w:val="left"/>
      <w:pPr>
        <w:tabs>
          <w:tab w:val="num" w:pos="1440"/>
        </w:tabs>
        <w:ind w:left="1440" w:hanging="360"/>
      </w:pPr>
    </w:lvl>
    <w:lvl w:ilvl="2" w:tplc="A650C1A0" w:tentative="1">
      <w:start w:val="1"/>
      <w:numFmt w:val="decimal"/>
      <w:lvlText w:val="%3."/>
      <w:lvlJc w:val="left"/>
      <w:pPr>
        <w:tabs>
          <w:tab w:val="num" w:pos="2160"/>
        </w:tabs>
        <w:ind w:left="2160" w:hanging="360"/>
      </w:pPr>
    </w:lvl>
    <w:lvl w:ilvl="3" w:tplc="C05C12CC" w:tentative="1">
      <w:start w:val="1"/>
      <w:numFmt w:val="decimal"/>
      <w:lvlText w:val="%4."/>
      <w:lvlJc w:val="left"/>
      <w:pPr>
        <w:tabs>
          <w:tab w:val="num" w:pos="2880"/>
        </w:tabs>
        <w:ind w:left="2880" w:hanging="360"/>
      </w:pPr>
    </w:lvl>
    <w:lvl w:ilvl="4" w:tplc="81E4969E" w:tentative="1">
      <w:start w:val="1"/>
      <w:numFmt w:val="decimal"/>
      <w:lvlText w:val="%5."/>
      <w:lvlJc w:val="left"/>
      <w:pPr>
        <w:tabs>
          <w:tab w:val="num" w:pos="3600"/>
        </w:tabs>
        <w:ind w:left="3600" w:hanging="360"/>
      </w:pPr>
    </w:lvl>
    <w:lvl w:ilvl="5" w:tplc="D40EB5EA" w:tentative="1">
      <w:start w:val="1"/>
      <w:numFmt w:val="decimal"/>
      <w:lvlText w:val="%6."/>
      <w:lvlJc w:val="left"/>
      <w:pPr>
        <w:tabs>
          <w:tab w:val="num" w:pos="4320"/>
        </w:tabs>
        <w:ind w:left="4320" w:hanging="360"/>
      </w:pPr>
    </w:lvl>
    <w:lvl w:ilvl="6" w:tplc="7AFEEEBA" w:tentative="1">
      <w:start w:val="1"/>
      <w:numFmt w:val="decimal"/>
      <w:lvlText w:val="%7."/>
      <w:lvlJc w:val="left"/>
      <w:pPr>
        <w:tabs>
          <w:tab w:val="num" w:pos="5040"/>
        </w:tabs>
        <w:ind w:left="5040" w:hanging="360"/>
      </w:pPr>
    </w:lvl>
    <w:lvl w:ilvl="7" w:tplc="DB0043D6" w:tentative="1">
      <w:start w:val="1"/>
      <w:numFmt w:val="decimal"/>
      <w:lvlText w:val="%8."/>
      <w:lvlJc w:val="left"/>
      <w:pPr>
        <w:tabs>
          <w:tab w:val="num" w:pos="5760"/>
        </w:tabs>
        <w:ind w:left="5760" w:hanging="360"/>
      </w:pPr>
    </w:lvl>
    <w:lvl w:ilvl="8" w:tplc="E2624C3E" w:tentative="1">
      <w:start w:val="1"/>
      <w:numFmt w:val="decimal"/>
      <w:lvlText w:val="%9."/>
      <w:lvlJc w:val="left"/>
      <w:pPr>
        <w:tabs>
          <w:tab w:val="num" w:pos="6480"/>
        </w:tabs>
        <w:ind w:left="6480" w:hanging="360"/>
      </w:pPr>
    </w:lvl>
  </w:abstractNum>
  <w:abstractNum w:abstractNumId="12">
    <w:nsid w:val="57437DC3"/>
    <w:multiLevelType w:val="hybridMultilevel"/>
    <w:tmpl w:val="081A2410"/>
    <w:lvl w:ilvl="0" w:tplc="E3B08836">
      <w:start w:val="1"/>
      <w:numFmt w:val="bullet"/>
      <w:lvlText w:val="•"/>
      <w:lvlJc w:val="left"/>
      <w:pPr>
        <w:tabs>
          <w:tab w:val="num" w:pos="720"/>
        </w:tabs>
        <w:ind w:left="720" w:hanging="360"/>
      </w:pPr>
      <w:rPr>
        <w:rFonts w:ascii="Arial" w:hAnsi="Arial" w:hint="default"/>
      </w:rPr>
    </w:lvl>
    <w:lvl w:ilvl="1" w:tplc="05F84594" w:tentative="1">
      <w:start w:val="1"/>
      <w:numFmt w:val="bullet"/>
      <w:lvlText w:val="•"/>
      <w:lvlJc w:val="left"/>
      <w:pPr>
        <w:tabs>
          <w:tab w:val="num" w:pos="1440"/>
        </w:tabs>
        <w:ind w:left="1440" w:hanging="360"/>
      </w:pPr>
      <w:rPr>
        <w:rFonts w:ascii="Arial" w:hAnsi="Arial" w:hint="default"/>
      </w:rPr>
    </w:lvl>
    <w:lvl w:ilvl="2" w:tplc="ACE66B4A" w:tentative="1">
      <w:start w:val="1"/>
      <w:numFmt w:val="bullet"/>
      <w:lvlText w:val="•"/>
      <w:lvlJc w:val="left"/>
      <w:pPr>
        <w:tabs>
          <w:tab w:val="num" w:pos="2160"/>
        </w:tabs>
        <w:ind w:left="2160" w:hanging="360"/>
      </w:pPr>
      <w:rPr>
        <w:rFonts w:ascii="Arial" w:hAnsi="Arial" w:hint="default"/>
      </w:rPr>
    </w:lvl>
    <w:lvl w:ilvl="3" w:tplc="834675B0" w:tentative="1">
      <w:start w:val="1"/>
      <w:numFmt w:val="bullet"/>
      <w:lvlText w:val="•"/>
      <w:lvlJc w:val="left"/>
      <w:pPr>
        <w:tabs>
          <w:tab w:val="num" w:pos="2880"/>
        </w:tabs>
        <w:ind w:left="2880" w:hanging="360"/>
      </w:pPr>
      <w:rPr>
        <w:rFonts w:ascii="Arial" w:hAnsi="Arial" w:hint="default"/>
      </w:rPr>
    </w:lvl>
    <w:lvl w:ilvl="4" w:tplc="4E602634" w:tentative="1">
      <w:start w:val="1"/>
      <w:numFmt w:val="bullet"/>
      <w:lvlText w:val="•"/>
      <w:lvlJc w:val="left"/>
      <w:pPr>
        <w:tabs>
          <w:tab w:val="num" w:pos="3600"/>
        </w:tabs>
        <w:ind w:left="3600" w:hanging="360"/>
      </w:pPr>
      <w:rPr>
        <w:rFonts w:ascii="Arial" w:hAnsi="Arial" w:hint="default"/>
      </w:rPr>
    </w:lvl>
    <w:lvl w:ilvl="5" w:tplc="F6EE970C" w:tentative="1">
      <w:start w:val="1"/>
      <w:numFmt w:val="bullet"/>
      <w:lvlText w:val="•"/>
      <w:lvlJc w:val="left"/>
      <w:pPr>
        <w:tabs>
          <w:tab w:val="num" w:pos="4320"/>
        </w:tabs>
        <w:ind w:left="4320" w:hanging="360"/>
      </w:pPr>
      <w:rPr>
        <w:rFonts w:ascii="Arial" w:hAnsi="Arial" w:hint="default"/>
      </w:rPr>
    </w:lvl>
    <w:lvl w:ilvl="6" w:tplc="4D68FC42" w:tentative="1">
      <w:start w:val="1"/>
      <w:numFmt w:val="bullet"/>
      <w:lvlText w:val="•"/>
      <w:lvlJc w:val="left"/>
      <w:pPr>
        <w:tabs>
          <w:tab w:val="num" w:pos="5040"/>
        </w:tabs>
        <w:ind w:left="5040" w:hanging="360"/>
      </w:pPr>
      <w:rPr>
        <w:rFonts w:ascii="Arial" w:hAnsi="Arial" w:hint="default"/>
      </w:rPr>
    </w:lvl>
    <w:lvl w:ilvl="7" w:tplc="0C209DF8" w:tentative="1">
      <w:start w:val="1"/>
      <w:numFmt w:val="bullet"/>
      <w:lvlText w:val="•"/>
      <w:lvlJc w:val="left"/>
      <w:pPr>
        <w:tabs>
          <w:tab w:val="num" w:pos="5760"/>
        </w:tabs>
        <w:ind w:left="5760" w:hanging="360"/>
      </w:pPr>
      <w:rPr>
        <w:rFonts w:ascii="Arial" w:hAnsi="Arial" w:hint="default"/>
      </w:rPr>
    </w:lvl>
    <w:lvl w:ilvl="8" w:tplc="A0349548" w:tentative="1">
      <w:start w:val="1"/>
      <w:numFmt w:val="bullet"/>
      <w:lvlText w:val="•"/>
      <w:lvlJc w:val="left"/>
      <w:pPr>
        <w:tabs>
          <w:tab w:val="num" w:pos="6480"/>
        </w:tabs>
        <w:ind w:left="6480" w:hanging="360"/>
      </w:pPr>
      <w:rPr>
        <w:rFonts w:ascii="Arial" w:hAnsi="Arial" w:hint="default"/>
      </w:rPr>
    </w:lvl>
  </w:abstractNum>
  <w:abstractNum w:abstractNumId="13">
    <w:nsid w:val="5C197BE4"/>
    <w:multiLevelType w:val="hybridMultilevel"/>
    <w:tmpl w:val="77BE121E"/>
    <w:lvl w:ilvl="0" w:tplc="59CC4E4E">
      <w:start w:val="1"/>
      <w:numFmt w:val="bullet"/>
      <w:lvlText w:val="•"/>
      <w:lvlJc w:val="left"/>
      <w:pPr>
        <w:tabs>
          <w:tab w:val="num" w:pos="720"/>
        </w:tabs>
        <w:ind w:left="720" w:hanging="360"/>
      </w:pPr>
      <w:rPr>
        <w:rFonts w:ascii="Arial" w:hAnsi="Arial" w:hint="default"/>
      </w:rPr>
    </w:lvl>
    <w:lvl w:ilvl="1" w:tplc="86D038B8" w:tentative="1">
      <w:start w:val="1"/>
      <w:numFmt w:val="bullet"/>
      <w:lvlText w:val="•"/>
      <w:lvlJc w:val="left"/>
      <w:pPr>
        <w:tabs>
          <w:tab w:val="num" w:pos="1440"/>
        </w:tabs>
        <w:ind w:left="1440" w:hanging="360"/>
      </w:pPr>
      <w:rPr>
        <w:rFonts w:ascii="Arial" w:hAnsi="Arial" w:hint="default"/>
      </w:rPr>
    </w:lvl>
    <w:lvl w:ilvl="2" w:tplc="4E1E570A" w:tentative="1">
      <w:start w:val="1"/>
      <w:numFmt w:val="bullet"/>
      <w:lvlText w:val="•"/>
      <w:lvlJc w:val="left"/>
      <w:pPr>
        <w:tabs>
          <w:tab w:val="num" w:pos="2160"/>
        </w:tabs>
        <w:ind w:left="2160" w:hanging="360"/>
      </w:pPr>
      <w:rPr>
        <w:rFonts w:ascii="Arial" w:hAnsi="Arial" w:hint="default"/>
      </w:rPr>
    </w:lvl>
    <w:lvl w:ilvl="3" w:tplc="B62C5CBE" w:tentative="1">
      <w:start w:val="1"/>
      <w:numFmt w:val="bullet"/>
      <w:lvlText w:val="•"/>
      <w:lvlJc w:val="left"/>
      <w:pPr>
        <w:tabs>
          <w:tab w:val="num" w:pos="2880"/>
        </w:tabs>
        <w:ind w:left="2880" w:hanging="360"/>
      </w:pPr>
      <w:rPr>
        <w:rFonts w:ascii="Arial" w:hAnsi="Arial" w:hint="default"/>
      </w:rPr>
    </w:lvl>
    <w:lvl w:ilvl="4" w:tplc="4B7C3DBC" w:tentative="1">
      <w:start w:val="1"/>
      <w:numFmt w:val="bullet"/>
      <w:lvlText w:val="•"/>
      <w:lvlJc w:val="left"/>
      <w:pPr>
        <w:tabs>
          <w:tab w:val="num" w:pos="3600"/>
        </w:tabs>
        <w:ind w:left="3600" w:hanging="360"/>
      </w:pPr>
      <w:rPr>
        <w:rFonts w:ascii="Arial" w:hAnsi="Arial" w:hint="default"/>
      </w:rPr>
    </w:lvl>
    <w:lvl w:ilvl="5" w:tplc="E4DEC9BA" w:tentative="1">
      <w:start w:val="1"/>
      <w:numFmt w:val="bullet"/>
      <w:lvlText w:val="•"/>
      <w:lvlJc w:val="left"/>
      <w:pPr>
        <w:tabs>
          <w:tab w:val="num" w:pos="4320"/>
        </w:tabs>
        <w:ind w:left="4320" w:hanging="360"/>
      </w:pPr>
      <w:rPr>
        <w:rFonts w:ascii="Arial" w:hAnsi="Arial" w:hint="default"/>
      </w:rPr>
    </w:lvl>
    <w:lvl w:ilvl="6" w:tplc="70D2C0CE" w:tentative="1">
      <w:start w:val="1"/>
      <w:numFmt w:val="bullet"/>
      <w:lvlText w:val="•"/>
      <w:lvlJc w:val="left"/>
      <w:pPr>
        <w:tabs>
          <w:tab w:val="num" w:pos="5040"/>
        </w:tabs>
        <w:ind w:left="5040" w:hanging="360"/>
      </w:pPr>
      <w:rPr>
        <w:rFonts w:ascii="Arial" w:hAnsi="Arial" w:hint="default"/>
      </w:rPr>
    </w:lvl>
    <w:lvl w:ilvl="7" w:tplc="160AD336" w:tentative="1">
      <w:start w:val="1"/>
      <w:numFmt w:val="bullet"/>
      <w:lvlText w:val="•"/>
      <w:lvlJc w:val="left"/>
      <w:pPr>
        <w:tabs>
          <w:tab w:val="num" w:pos="5760"/>
        </w:tabs>
        <w:ind w:left="5760" w:hanging="360"/>
      </w:pPr>
      <w:rPr>
        <w:rFonts w:ascii="Arial" w:hAnsi="Arial" w:hint="default"/>
      </w:rPr>
    </w:lvl>
    <w:lvl w:ilvl="8" w:tplc="3C82973C" w:tentative="1">
      <w:start w:val="1"/>
      <w:numFmt w:val="bullet"/>
      <w:lvlText w:val="•"/>
      <w:lvlJc w:val="left"/>
      <w:pPr>
        <w:tabs>
          <w:tab w:val="num" w:pos="6480"/>
        </w:tabs>
        <w:ind w:left="6480" w:hanging="360"/>
      </w:pPr>
      <w:rPr>
        <w:rFonts w:ascii="Arial" w:hAnsi="Arial" w:hint="default"/>
      </w:rPr>
    </w:lvl>
  </w:abstractNum>
  <w:abstractNum w:abstractNumId="14">
    <w:nsid w:val="5EC62251"/>
    <w:multiLevelType w:val="hybridMultilevel"/>
    <w:tmpl w:val="65480364"/>
    <w:lvl w:ilvl="0" w:tplc="7382E3EA">
      <w:start w:val="1"/>
      <w:numFmt w:val="bullet"/>
      <w:lvlText w:val="•"/>
      <w:lvlJc w:val="left"/>
      <w:pPr>
        <w:tabs>
          <w:tab w:val="num" w:pos="720"/>
        </w:tabs>
        <w:ind w:left="720" w:hanging="360"/>
      </w:pPr>
      <w:rPr>
        <w:rFonts w:ascii="Arial" w:hAnsi="Arial" w:hint="default"/>
      </w:rPr>
    </w:lvl>
    <w:lvl w:ilvl="1" w:tplc="1C9CFDDE" w:tentative="1">
      <w:start w:val="1"/>
      <w:numFmt w:val="bullet"/>
      <w:lvlText w:val="•"/>
      <w:lvlJc w:val="left"/>
      <w:pPr>
        <w:tabs>
          <w:tab w:val="num" w:pos="1440"/>
        </w:tabs>
        <w:ind w:left="1440" w:hanging="360"/>
      </w:pPr>
      <w:rPr>
        <w:rFonts w:ascii="Arial" w:hAnsi="Arial" w:hint="default"/>
      </w:rPr>
    </w:lvl>
    <w:lvl w:ilvl="2" w:tplc="C51A325C" w:tentative="1">
      <w:start w:val="1"/>
      <w:numFmt w:val="bullet"/>
      <w:lvlText w:val="•"/>
      <w:lvlJc w:val="left"/>
      <w:pPr>
        <w:tabs>
          <w:tab w:val="num" w:pos="2160"/>
        </w:tabs>
        <w:ind w:left="2160" w:hanging="360"/>
      </w:pPr>
      <w:rPr>
        <w:rFonts w:ascii="Arial" w:hAnsi="Arial" w:hint="default"/>
      </w:rPr>
    </w:lvl>
    <w:lvl w:ilvl="3" w:tplc="44607FAE" w:tentative="1">
      <w:start w:val="1"/>
      <w:numFmt w:val="bullet"/>
      <w:lvlText w:val="•"/>
      <w:lvlJc w:val="left"/>
      <w:pPr>
        <w:tabs>
          <w:tab w:val="num" w:pos="2880"/>
        </w:tabs>
        <w:ind w:left="2880" w:hanging="360"/>
      </w:pPr>
      <w:rPr>
        <w:rFonts w:ascii="Arial" w:hAnsi="Arial" w:hint="default"/>
      </w:rPr>
    </w:lvl>
    <w:lvl w:ilvl="4" w:tplc="D3F892EC" w:tentative="1">
      <w:start w:val="1"/>
      <w:numFmt w:val="bullet"/>
      <w:lvlText w:val="•"/>
      <w:lvlJc w:val="left"/>
      <w:pPr>
        <w:tabs>
          <w:tab w:val="num" w:pos="3600"/>
        </w:tabs>
        <w:ind w:left="3600" w:hanging="360"/>
      </w:pPr>
      <w:rPr>
        <w:rFonts w:ascii="Arial" w:hAnsi="Arial" w:hint="default"/>
      </w:rPr>
    </w:lvl>
    <w:lvl w:ilvl="5" w:tplc="DE2CF982" w:tentative="1">
      <w:start w:val="1"/>
      <w:numFmt w:val="bullet"/>
      <w:lvlText w:val="•"/>
      <w:lvlJc w:val="left"/>
      <w:pPr>
        <w:tabs>
          <w:tab w:val="num" w:pos="4320"/>
        </w:tabs>
        <w:ind w:left="4320" w:hanging="360"/>
      </w:pPr>
      <w:rPr>
        <w:rFonts w:ascii="Arial" w:hAnsi="Arial" w:hint="default"/>
      </w:rPr>
    </w:lvl>
    <w:lvl w:ilvl="6" w:tplc="A60EE570" w:tentative="1">
      <w:start w:val="1"/>
      <w:numFmt w:val="bullet"/>
      <w:lvlText w:val="•"/>
      <w:lvlJc w:val="left"/>
      <w:pPr>
        <w:tabs>
          <w:tab w:val="num" w:pos="5040"/>
        </w:tabs>
        <w:ind w:left="5040" w:hanging="360"/>
      </w:pPr>
      <w:rPr>
        <w:rFonts w:ascii="Arial" w:hAnsi="Arial" w:hint="default"/>
      </w:rPr>
    </w:lvl>
    <w:lvl w:ilvl="7" w:tplc="77EE53F8" w:tentative="1">
      <w:start w:val="1"/>
      <w:numFmt w:val="bullet"/>
      <w:lvlText w:val="•"/>
      <w:lvlJc w:val="left"/>
      <w:pPr>
        <w:tabs>
          <w:tab w:val="num" w:pos="5760"/>
        </w:tabs>
        <w:ind w:left="5760" w:hanging="360"/>
      </w:pPr>
      <w:rPr>
        <w:rFonts w:ascii="Arial" w:hAnsi="Arial" w:hint="default"/>
      </w:rPr>
    </w:lvl>
    <w:lvl w:ilvl="8" w:tplc="CA907250" w:tentative="1">
      <w:start w:val="1"/>
      <w:numFmt w:val="bullet"/>
      <w:lvlText w:val="•"/>
      <w:lvlJc w:val="left"/>
      <w:pPr>
        <w:tabs>
          <w:tab w:val="num" w:pos="6480"/>
        </w:tabs>
        <w:ind w:left="6480" w:hanging="360"/>
      </w:pPr>
      <w:rPr>
        <w:rFonts w:ascii="Arial" w:hAnsi="Arial" w:hint="default"/>
      </w:rPr>
    </w:lvl>
  </w:abstractNum>
  <w:abstractNum w:abstractNumId="15">
    <w:nsid w:val="6114105A"/>
    <w:multiLevelType w:val="hybridMultilevel"/>
    <w:tmpl w:val="20B28E8A"/>
    <w:lvl w:ilvl="0" w:tplc="CED2D1E0">
      <w:start w:val="1"/>
      <w:numFmt w:val="bullet"/>
      <w:lvlText w:val="•"/>
      <w:lvlJc w:val="left"/>
      <w:pPr>
        <w:tabs>
          <w:tab w:val="num" w:pos="720"/>
        </w:tabs>
        <w:ind w:left="720" w:hanging="360"/>
      </w:pPr>
      <w:rPr>
        <w:rFonts w:ascii="Arial" w:hAnsi="Arial" w:hint="default"/>
      </w:rPr>
    </w:lvl>
    <w:lvl w:ilvl="1" w:tplc="029C7BA0" w:tentative="1">
      <w:start w:val="1"/>
      <w:numFmt w:val="bullet"/>
      <w:lvlText w:val="•"/>
      <w:lvlJc w:val="left"/>
      <w:pPr>
        <w:tabs>
          <w:tab w:val="num" w:pos="1440"/>
        </w:tabs>
        <w:ind w:left="1440" w:hanging="360"/>
      </w:pPr>
      <w:rPr>
        <w:rFonts w:ascii="Arial" w:hAnsi="Arial" w:hint="default"/>
      </w:rPr>
    </w:lvl>
    <w:lvl w:ilvl="2" w:tplc="3CCCAB1E" w:tentative="1">
      <w:start w:val="1"/>
      <w:numFmt w:val="bullet"/>
      <w:lvlText w:val="•"/>
      <w:lvlJc w:val="left"/>
      <w:pPr>
        <w:tabs>
          <w:tab w:val="num" w:pos="2160"/>
        </w:tabs>
        <w:ind w:left="2160" w:hanging="360"/>
      </w:pPr>
      <w:rPr>
        <w:rFonts w:ascii="Arial" w:hAnsi="Arial" w:hint="default"/>
      </w:rPr>
    </w:lvl>
    <w:lvl w:ilvl="3" w:tplc="18C49600" w:tentative="1">
      <w:start w:val="1"/>
      <w:numFmt w:val="bullet"/>
      <w:lvlText w:val="•"/>
      <w:lvlJc w:val="left"/>
      <w:pPr>
        <w:tabs>
          <w:tab w:val="num" w:pos="2880"/>
        </w:tabs>
        <w:ind w:left="2880" w:hanging="360"/>
      </w:pPr>
      <w:rPr>
        <w:rFonts w:ascii="Arial" w:hAnsi="Arial" w:hint="default"/>
      </w:rPr>
    </w:lvl>
    <w:lvl w:ilvl="4" w:tplc="F8801140" w:tentative="1">
      <w:start w:val="1"/>
      <w:numFmt w:val="bullet"/>
      <w:lvlText w:val="•"/>
      <w:lvlJc w:val="left"/>
      <w:pPr>
        <w:tabs>
          <w:tab w:val="num" w:pos="3600"/>
        </w:tabs>
        <w:ind w:left="3600" w:hanging="360"/>
      </w:pPr>
      <w:rPr>
        <w:rFonts w:ascii="Arial" w:hAnsi="Arial" w:hint="default"/>
      </w:rPr>
    </w:lvl>
    <w:lvl w:ilvl="5" w:tplc="4B4654B6" w:tentative="1">
      <w:start w:val="1"/>
      <w:numFmt w:val="bullet"/>
      <w:lvlText w:val="•"/>
      <w:lvlJc w:val="left"/>
      <w:pPr>
        <w:tabs>
          <w:tab w:val="num" w:pos="4320"/>
        </w:tabs>
        <w:ind w:left="4320" w:hanging="360"/>
      </w:pPr>
      <w:rPr>
        <w:rFonts w:ascii="Arial" w:hAnsi="Arial" w:hint="default"/>
      </w:rPr>
    </w:lvl>
    <w:lvl w:ilvl="6" w:tplc="505E773A" w:tentative="1">
      <w:start w:val="1"/>
      <w:numFmt w:val="bullet"/>
      <w:lvlText w:val="•"/>
      <w:lvlJc w:val="left"/>
      <w:pPr>
        <w:tabs>
          <w:tab w:val="num" w:pos="5040"/>
        </w:tabs>
        <w:ind w:left="5040" w:hanging="360"/>
      </w:pPr>
      <w:rPr>
        <w:rFonts w:ascii="Arial" w:hAnsi="Arial" w:hint="default"/>
      </w:rPr>
    </w:lvl>
    <w:lvl w:ilvl="7" w:tplc="8398025C" w:tentative="1">
      <w:start w:val="1"/>
      <w:numFmt w:val="bullet"/>
      <w:lvlText w:val="•"/>
      <w:lvlJc w:val="left"/>
      <w:pPr>
        <w:tabs>
          <w:tab w:val="num" w:pos="5760"/>
        </w:tabs>
        <w:ind w:left="5760" w:hanging="360"/>
      </w:pPr>
      <w:rPr>
        <w:rFonts w:ascii="Arial" w:hAnsi="Arial" w:hint="default"/>
      </w:rPr>
    </w:lvl>
    <w:lvl w:ilvl="8" w:tplc="04629F7E" w:tentative="1">
      <w:start w:val="1"/>
      <w:numFmt w:val="bullet"/>
      <w:lvlText w:val="•"/>
      <w:lvlJc w:val="left"/>
      <w:pPr>
        <w:tabs>
          <w:tab w:val="num" w:pos="6480"/>
        </w:tabs>
        <w:ind w:left="6480" w:hanging="360"/>
      </w:pPr>
      <w:rPr>
        <w:rFonts w:ascii="Arial" w:hAnsi="Arial" w:hint="default"/>
      </w:rPr>
    </w:lvl>
  </w:abstractNum>
  <w:abstractNum w:abstractNumId="16">
    <w:nsid w:val="65C75A95"/>
    <w:multiLevelType w:val="hybridMultilevel"/>
    <w:tmpl w:val="A61A9CF8"/>
    <w:lvl w:ilvl="0" w:tplc="3FE46FF2">
      <w:start w:val="1"/>
      <w:numFmt w:val="bullet"/>
      <w:lvlText w:val="•"/>
      <w:lvlJc w:val="left"/>
      <w:pPr>
        <w:tabs>
          <w:tab w:val="num" w:pos="720"/>
        </w:tabs>
        <w:ind w:left="720" w:hanging="360"/>
      </w:pPr>
      <w:rPr>
        <w:rFonts w:ascii="Arial" w:hAnsi="Arial" w:hint="default"/>
      </w:rPr>
    </w:lvl>
    <w:lvl w:ilvl="1" w:tplc="F06C29AE" w:tentative="1">
      <w:start w:val="1"/>
      <w:numFmt w:val="bullet"/>
      <w:lvlText w:val="•"/>
      <w:lvlJc w:val="left"/>
      <w:pPr>
        <w:tabs>
          <w:tab w:val="num" w:pos="1440"/>
        </w:tabs>
        <w:ind w:left="1440" w:hanging="360"/>
      </w:pPr>
      <w:rPr>
        <w:rFonts w:ascii="Arial" w:hAnsi="Arial" w:hint="default"/>
      </w:rPr>
    </w:lvl>
    <w:lvl w:ilvl="2" w:tplc="59A8E360" w:tentative="1">
      <w:start w:val="1"/>
      <w:numFmt w:val="bullet"/>
      <w:lvlText w:val="•"/>
      <w:lvlJc w:val="left"/>
      <w:pPr>
        <w:tabs>
          <w:tab w:val="num" w:pos="2160"/>
        </w:tabs>
        <w:ind w:left="2160" w:hanging="360"/>
      </w:pPr>
      <w:rPr>
        <w:rFonts w:ascii="Arial" w:hAnsi="Arial" w:hint="default"/>
      </w:rPr>
    </w:lvl>
    <w:lvl w:ilvl="3" w:tplc="61E89818" w:tentative="1">
      <w:start w:val="1"/>
      <w:numFmt w:val="bullet"/>
      <w:lvlText w:val="•"/>
      <w:lvlJc w:val="left"/>
      <w:pPr>
        <w:tabs>
          <w:tab w:val="num" w:pos="2880"/>
        </w:tabs>
        <w:ind w:left="2880" w:hanging="360"/>
      </w:pPr>
      <w:rPr>
        <w:rFonts w:ascii="Arial" w:hAnsi="Arial" w:hint="default"/>
      </w:rPr>
    </w:lvl>
    <w:lvl w:ilvl="4" w:tplc="4DC261E0" w:tentative="1">
      <w:start w:val="1"/>
      <w:numFmt w:val="bullet"/>
      <w:lvlText w:val="•"/>
      <w:lvlJc w:val="left"/>
      <w:pPr>
        <w:tabs>
          <w:tab w:val="num" w:pos="3600"/>
        </w:tabs>
        <w:ind w:left="3600" w:hanging="360"/>
      </w:pPr>
      <w:rPr>
        <w:rFonts w:ascii="Arial" w:hAnsi="Arial" w:hint="default"/>
      </w:rPr>
    </w:lvl>
    <w:lvl w:ilvl="5" w:tplc="4F2E1436" w:tentative="1">
      <w:start w:val="1"/>
      <w:numFmt w:val="bullet"/>
      <w:lvlText w:val="•"/>
      <w:lvlJc w:val="left"/>
      <w:pPr>
        <w:tabs>
          <w:tab w:val="num" w:pos="4320"/>
        </w:tabs>
        <w:ind w:left="4320" w:hanging="360"/>
      </w:pPr>
      <w:rPr>
        <w:rFonts w:ascii="Arial" w:hAnsi="Arial" w:hint="default"/>
      </w:rPr>
    </w:lvl>
    <w:lvl w:ilvl="6" w:tplc="D998230A" w:tentative="1">
      <w:start w:val="1"/>
      <w:numFmt w:val="bullet"/>
      <w:lvlText w:val="•"/>
      <w:lvlJc w:val="left"/>
      <w:pPr>
        <w:tabs>
          <w:tab w:val="num" w:pos="5040"/>
        </w:tabs>
        <w:ind w:left="5040" w:hanging="360"/>
      </w:pPr>
      <w:rPr>
        <w:rFonts w:ascii="Arial" w:hAnsi="Arial" w:hint="default"/>
      </w:rPr>
    </w:lvl>
    <w:lvl w:ilvl="7" w:tplc="81120C60" w:tentative="1">
      <w:start w:val="1"/>
      <w:numFmt w:val="bullet"/>
      <w:lvlText w:val="•"/>
      <w:lvlJc w:val="left"/>
      <w:pPr>
        <w:tabs>
          <w:tab w:val="num" w:pos="5760"/>
        </w:tabs>
        <w:ind w:left="5760" w:hanging="360"/>
      </w:pPr>
      <w:rPr>
        <w:rFonts w:ascii="Arial" w:hAnsi="Arial" w:hint="default"/>
      </w:rPr>
    </w:lvl>
    <w:lvl w:ilvl="8" w:tplc="1BC82088" w:tentative="1">
      <w:start w:val="1"/>
      <w:numFmt w:val="bullet"/>
      <w:lvlText w:val="•"/>
      <w:lvlJc w:val="left"/>
      <w:pPr>
        <w:tabs>
          <w:tab w:val="num" w:pos="6480"/>
        </w:tabs>
        <w:ind w:left="6480" w:hanging="360"/>
      </w:pPr>
      <w:rPr>
        <w:rFonts w:ascii="Arial" w:hAnsi="Arial" w:hint="default"/>
      </w:rPr>
    </w:lvl>
  </w:abstractNum>
  <w:abstractNum w:abstractNumId="17">
    <w:nsid w:val="6D3F6163"/>
    <w:multiLevelType w:val="hybridMultilevel"/>
    <w:tmpl w:val="9AC62E1C"/>
    <w:lvl w:ilvl="0" w:tplc="3A8219C2">
      <w:start w:val="1"/>
      <w:numFmt w:val="bullet"/>
      <w:lvlText w:val="•"/>
      <w:lvlJc w:val="left"/>
      <w:pPr>
        <w:tabs>
          <w:tab w:val="num" w:pos="720"/>
        </w:tabs>
        <w:ind w:left="720" w:hanging="360"/>
      </w:pPr>
      <w:rPr>
        <w:rFonts w:ascii="Arial" w:hAnsi="Arial" w:hint="default"/>
      </w:rPr>
    </w:lvl>
    <w:lvl w:ilvl="1" w:tplc="A4444490" w:tentative="1">
      <w:start w:val="1"/>
      <w:numFmt w:val="bullet"/>
      <w:lvlText w:val="•"/>
      <w:lvlJc w:val="left"/>
      <w:pPr>
        <w:tabs>
          <w:tab w:val="num" w:pos="1440"/>
        </w:tabs>
        <w:ind w:left="1440" w:hanging="360"/>
      </w:pPr>
      <w:rPr>
        <w:rFonts w:ascii="Arial" w:hAnsi="Arial" w:hint="default"/>
      </w:rPr>
    </w:lvl>
    <w:lvl w:ilvl="2" w:tplc="C34CD5B2" w:tentative="1">
      <w:start w:val="1"/>
      <w:numFmt w:val="bullet"/>
      <w:lvlText w:val="•"/>
      <w:lvlJc w:val="left"/>
      <w:pPr>
        <w:tabs>
          <w:tab w:val="num" w:pos="2160"/>
        </w:tabs>
        <w:ind w:left="2160" w:hanging="360"/>
      </w:pPr>
      <w:rPr>
        <w:rFonts w:ascii="Arial" w:hAnsi="Arial" w:hint="default"/>
      </w:rPr>
    </w:lvl>
    <w:lvl w:ilvl="3" w:tplc="C9462D10" w:tentative="1">
      <w:start w:val="1"/>
      <w:numFmt w:val="bullet"/>
      <w:lvlText w:val="•"/>
      <w:lvlJc w:val="left"/>
      <w:pPr>
        <w:tabs>
          <w:tab w:val="num" w:pos="2880"/>
        </w:tabs>
        <w:ind w:left="2880" w:hanging="360"/>
      </w:pPr>
      <w:rPr>
        <w:rFonts w:ascii="Arial" w:hAnsi="Arial" w:hint="default"/>
      </w:rPr>
    </w:lvl>
    <w:lvl w:ilvl="4" w:tplc="2B36FBB2" w:tentative="1">
      <w:start w:val="1"/>
      <w:numFmt w:val="bullet"/>
      <w:lvlText w:val="•"/>
      <w:lvlJc w:val="left"/>
      <w:pPr>
        <w:tabs>
          <w:tab w:val="num" w:pos="3600"/>
        </w:tabs>
        <w:ind w:left="3600" w:hanging="360"/>
      </w:pPr>
      <w:rPr>
        <w:rFonts w:ascii="Arial" w:hAnsi="Arial" w:hint="default"/>
      </w:rPr>
    </w:lvl>
    <w:lvl w:ilvl="5" w:tplc="5D364B16" w:tentative="1">
      <w:start w:val="1"/>
      <w:numFmt w:val="bullet"/>
      <w:lvlText w:val="•"/>
      <w:lvlJc w:val="left"/>
      <w:pPr>
        <w:tabs>
          <w:tab w:val="num" w:pos="4320"/>
        </w:tabs>
        <w:ind w:left="4320" w:hanging="360"/>
      </w:pPr>
      <w:rPr>
        <w:rFonts w:ascii="Arial" w:hAnsi="Arial" w:hint="default"/>
      </w:rPr>
    </w:lvl>
    <w:lvl w:ilvl="6" w:tplc="F0E2B2C2" w:tentative="1">
      <w:start w:val="1"/>
      <w:numFmt w:val="bullet"/>
      <w:lvlText w:val="•"/>
      <w:lvlJc w:val="left"/>
      <w:pPr>
        <w:tabs>
          <w:tab w:val="num" w:pos="5040"/>
        </w:tabs>
        <w:ind w:left="5040" w:hanging="360"/>
      </w:pPr>
      <w:rPr>
        <w:rFonts w:ascii="Arial" w:hAnsi="Arial" w:hint="default"/>
      </w:rPr>
    </w:lvl>
    <w:lvl w:ilvl="7" w:tplc="4600FE5E" w:tentative="1">
      <w:start w:val="1"/>
      <w:numFmt w:val="bullet"/>
      <w:lvlText w:val="•"/>
      <w:lvlJc w:val="left"/>
      <w:pPr>
        <w:tabs>
          <w:tab w:val="num" w:pos="5760"/>
        </w:tabs>
        <w:ind w:left="5760" w:hanging="360"/>
      </w:pPr>
      <w:rPr>
        <w:rFonts w:ascii="Arial" w:hAnsi="Arial" w:hint="default"/>
      </w:rPr>
    </w:lvl>
    <w:lvl w:ilvl="8" w:tplc="2456447C" w:tentative="1">
      <w:start w:val="1"/>
      <w:numFmt w:val="bullet"/>
      <w:lvlText w:val="•"/>
      <w:lvlJc w:val="left"/>
      <w:pPr>
        <w:tabs>
          <w:tab w:val="num" w:pos="6480"/>
        </w:tabs>
        <w:ind w:left="6480" w:hanging="360"/>
      </w:pPr>
      <w:rPr>
        <w:rFonts w:ascii="Arial" w:hAnsi="Arial" w:hint="default"/>
      </w:rPr>
    </w:lvl>
  </w:abstractNum>
  <w:abstractNum w:abstractNumId="18">
    <w:nsid w:val="6F8D53F9"/>
    <w:multiLevelType w:val="hybridMultilevel"/>
    <w:tmpl w:val="71763066"/>
    <w:lvl w:ilvl="0" w:tplc="2FECE836">
      <w:start w:val="1"/>
      <w:numFmt w:val="bullet"/>
      <w:lvlText w:val="•"/>
      <w:lvlJc w:val="left"/>
      <w:pPr>
        <w:tabs>
          <w:tab w:val="num" w:pos="720"/>
        </w:tabs>
        <w:ind w:left="720" w:hanging="360"/>
      </w:pPr>
      <w:rPr>
        <w:rFonts w:ascii="Arial" w:hAnsi="Arial" w:hint="default"/>
      </w:rPr>
    </w:lvl>
    <w:lvl w:ilvl="1" w:tplc="26C850D2" w:tentative="1">
      <w:start w:val="1"/>
      <w:numFmt w:val="bullet"/>
      <w:lvlText w:val="•"/>
      <w:lvlJc w:val="left"/>
      <w:pPr>
        <w:tabs>
          <w:tab w:val="num" w:pos="1440"/>
        </w:tabs>
        <w:ind w:left="1440" w:hanging="360"/>
      </w:pPr>
      <w:rPr>
        <w:rFonts w:ascii="Arial" w:hAnsi="Arial" w:hint="default"/>
      </w:rPr>
    </w:lvl>
    <w:lvl w:ilvl="2" w:tplc="E038786C" w:tentative="1">
      <w:start w:val="1"/>
      <w:numFmt w:val="bullet"/>
      <w:lvlText w:val="•"/>
      <w:lvlJc w:val="left"/>
      <w:pPr>
        <w:tabs>
          <w:tab w:val="num" w:pos="2160"/>
        </w:tabs>
        <w:ind w:left="2160" w:hanging="360"/>
      </w:pPr>
      <w:rPr>
        <w:rFonts w:ascii="Arial" w:hAnsi="Arial" w:hint="default"/>
      </w:rPr>
    </w:lvl>
    <w:lvl w:ilvl="3" w:tplc="64742EE8" w:tentative="1">
      <w:start w:val="1"/>
      <w:numFmt w:val="bullet"/>
      <w:lvlText w:val="•"/>
      <w:lvlJc w:val="left"/>
      <w:pPr>
        <w:tabs>
          <w:tab w:val="num" w:pos="2880"/>
        </w:tabs>
        <w:ind w:left="2880" w:hanging="360"/>
      </w:pPr>
      <w:rPr>
        <w:rFonts w:ascii="Arial" w:hAnsi="Arial" w:hint="default"/>
      </w:rPr>
    </w:lvl>
    <w:lvl w:ilvl="4" w:tplc="D2FA5A00" w:tentative="1">
      <w:start w:val="1"/>
      <w:numFmt w:val="bullet"/>
      <w:lvlText w:val="•"/>
      <w:lvlJc w:val="left"/>
      <w:pPr>
        <w:tabs>
          <w:tab w:val="num" w:pos="3600"/>
        </w:tabs>
        <w:ind w:left="3600" w:hanging="360"/>
      </w:pPr>
      <w:rPr>
        <w:rFonts w:ascii="Arial" w:hAnsi="Arial" w:hint="default"/>
      </w:rPr>
    </w:lvl>
    <w:lvl w:ilvl="5" w:tplc="4260C3A6" w:tentative="1">
      <w:start w:val="1"/>
      <w:numFmt w:val="bullet"/>
      <w:lvlText w:val="•"/>
      <w:lvlJc w:val="left"/>
      <w:pPr>
        <w:tabs>
          <w:tab w:val="num" w:pos="4320"/>
        </w:tabs>
        <w:ind w:left="4320" w:hanging="360"/>
      </w:pPr>
      <w:rPr>
        <w:rFonts w:ascii="Arial" w:hAnsi="Arial" w:hint="default"/>
      </w:rPr>
    </w:lvl>
    <w:lvl w:ilvl="6" w:tplc="31D66160" w:tentative="1">
      <w:start w:val="1"/>
      <w:numFmt w:val="bullet"/>
      <w:lvlText w:val="•"/>
      <w:lvlJc w:val="left"/>
      <w:pPr>
        <w:tabs>
          <w:tab w:val="num" w:pos="5040"/>
        </w:tabs>
        <w:ind w:left="5040" w:hanging="360"/>
      </w:pPr>
      <w:rPr>
        <w:rFonts w:ascii="Arial" w:hAnsi="Arial" w:hint="default"/>
      </w:rPr>
    </w:lvl>
    <w:lvl w:ilvl="7" w:tplc="1AE2C674" w:tentative="1">
      <w:start w:val="1"/>
      <w:numFmt w:val="bullet"/>
      <w:lvlText w:val="•"/>
      <w:lvlJc w:val="left"/>
      <w:pPr>
        <w:tabs>
          <w:tab w:val="num" w:pos="5760"/>
        </w:tabs>
        <w:ind w:left="5760" w:hanging="360"/>
      </w:pPr>
      <w:rPr>
        <w:rFonts w:ascii="Arial" w:hAnsi="Arial" w:hint="default"/>
      </w:rPr>
    </w:lvl>
    <w:lvl w:ilvl="8" w:tplc="03F65686"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2"/>
  </w:num>
  <w:num w:numId="3">
    <w:abstractNumId w:val="1"/>
  </w:num>
  <w:num w:numId="4">
    <w:abstractNumId w:val="3"/>
  </w:num>
  <w:num w:numId="5">
    <w:abstractNumId w:val="6"/>
  </w:num>
  <w:num w:numId="6">
    <w:abstractNumId w:val="7"/>
  </w:num>
  <w:num w:numId="7">
    <w:abstractNumId w:val="10"/>
  </w:num>
  <w:num w:numId="8">
    <w:abstractNumId w:val="15"/>
  </w:num>
  <w:num w:numId="9">
    <w:abstractNumId w:val="16"/>
  </w:num>
  <w:num w:numId="10">
    <w:abstractNumId w:val="17"/>
  </w:num>
  <w:num w:numId="11">
    <w:abstractNumId w:val="14"/>
  </w:num>
  <w:num w:numId="12">
    <w:abstractNumId w:val="11"/>
  </w:num>
  <w:num w:numId="13">
    <w:abstractNumId w:val="18"/>
  </w:num>
  <w:num w:numId="14">
    <w:abstractNumId w:val="4"/>
  </w:num>
  <w:num w:numId="15">
    <w:abstractNumId w:val="8"/>
  </w:num>
  <w:num w:numId="16">
    <w:abstractNumId w:val="2"/>
  </w:num>
  <w:num w:numId="17">
    <w:abstractNumId w:val="5"/>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B67"/>
    <w:rsid w:val="00006C84"/>
    <w:rsid w:val="0001115E"/>
    <w:rsid w:val="00020407"/>
    <w:rsid w:val="0002233C"/>
    <w:rsid w:val="000304C3"/>
    <w:rsid w:val="00057BC5"/>
    <w:rsid w:val="00064392"/>
    <w:rsid w:val="000A17A4"/>
    <w:rsid w:val="000B24B8"/>
    <w:rsid w:val="000E7A35"/>
    <w:rsid w:val="00110626"/>
    <w:rsid w:val="00127D9B"/>
    <w:rsid w:val="001364CB"/>
    <w:rsid w:val="002119CB"/>
    <w:rsid w:val="0021547E"/>
    <w:rsid w:val="002225D9"/>
    <w:rsid w:val="002302D5"/>
    <w:rsid w:val="002321EA"/>
    <w:rsid w:val="0023389B"/>
    <w:rsid w:val="00250B3F"/>
    <w:rsid w:val="00260952"/>
    <w:rsid w:val="00292F95"/>
    <w:rsid w:val="002F1124"/>
    <w:rsid w:val="002F17CF"/>
    <w:rsid w:val="00314542"/>
    <w:rsid w:val="00323898"/>
    <w:rsid w:val="0032738C"/>
    <w:rsid w:val="003311E3"/>
    <w:rsid w:val="003647BB"/>
    <w:rsid w:val="00371497"/>
    <w:rsid w:val="00374BDF"/>
    <w:rsid w:val="00394B44"/>
    <w:rsid w:val="003B2263"/>
    <w:rsid w:val="003B2D18"/>
    <w:rsid w:val="003C6411"/>
    <w:rsid w:val="003D2124"/>
    <w:rsid w:val="003E27D0"/>
    <w:rsid w:val="003F5502"/>
    <w:rsid w:val="00450D0A"/>
    <w:rsid w:val="00454BC9"/>
    <w:rsid w:val="00476769"/>
    <w:rsid w:val="00482A8F"/>
    <w:rsid w:val="004B2760"/>
    <w:rsid w:val="004C5AF8"/>
    <w:rsid w:val="004D2261"/>
    <w:rsid w:val="004D6112"/>
    <w:rsid w:val="004E23BC"/>
    <w:rsid w:val="004E2730"/>
    <w:rsid w:val="004E5000"/>
    <w:rsid w:val="00500F53"/>
    <w:rsid w:val="00512749"/>
    <w:rsid w:val="00517664"/>
    <w:rsid w:val="00531C0A"/>
    <w:rsid w:val="005418A1"/>
    <w:rsid w:val="005628B3"/>
    <w:rsid w:val="00565831"/>
    <w:rsid w:val="00576BC9"/>
    <w:rsid w:val="005771ED"/>
    <w:rsid w:val="00592DBA"/>
    <w:rsid w:val="005A5D43"/>
    <w:rsid w:val="005B4D1F"/>
    <w:rsid w:val="005B5C82"/>
    <w:rsid w:val="005D01DF"/>
    <w:rsid w:val="005F627B"/>
    <w:rsid w:val="00605516"/>
    <w:rsid w:val="00607B8C"/>
    <w:rsid w:val="006308D0"/>
    <w:rsid w:val="00642EDB"/>
    <w:rsid w:val="00645B8B"/>
    <w:rsid w:val="0064608E"/>
    <w:rsid w:val="00664CEA"/>
    <w:rsid w:val="00685630"/>
    <w:rsid w:val="00690986"/>
    <w:rsid w:val="00694B35"/>
    <w:rsid w:val="00696C37"/>
    <w:rsid w:val="006A78DA"/>
    <w:rsid w:val="006D6AC8"/>
    <w:rsid w:val="006F5D51"/>
    <w:rsid w:val="00701644"/>
    <w:rsid w:val="00714523"/>
    <w:rsid w:val="00727103"/>
    <w:rsid w:val="0073089D"/>
    <w:rsid w:val="00783D7B"/>
    <w:rsid w:val="007C10F3"/>
    <w:rsid w:val="007D03F6"/>
    <w:rsid w:val="007E2086"/>
    <w:rsid w:val="007E501F"/>
    <w:rsid w:val="0080124E"/>
    <w:rsid w:val="00831AFF"/>
    <w:rsid w:val="0084713A"/>
    <w:rsid w:val="0085612B"/>
    <w:rsid w:val="0086325D"/>
    <w:rsid w:val="008D3048"/>
    <w:rsid w:val="008E2B95"/>
    <w:rsid w:val="008E7265"/>
    <w:rsid w:val="008E78D7"/>
    <w:rsid w:val="0098732C"/>
    <w:rsid w:val="0099600D"/>
    <w:rsid w:val="009B2B2D"/>
    <w:rsid w:val="009B6B73"/>
    <w:rsid w:val="009C0FA9"/>
    <w:rsid w:val="009C6C65"/>
    <w:rsid w:val="009D0D95"/>
    <w:rsid w:val="009D19BF"/>
    <w:rsid w:val="009D1D00"/>
    <w:rsid w:val="009D505B"/>
    <w:rsid w:val="009E332C"/>
    <w:rsid w:val="009F3B67"/>
    <w:rsid w:val="009F52BB"/>
    <w:rsid w:val="00A120CD"/>
    <w:rsid w:val="00A131F6"/>
    <w:rsid w:val="00A13549"/>
    <w:rsid w:val="00A258D7"/>
    <w:rsid w:val="00A57A77"/>
    <w:rsid w:val="00A722C2"/>
    <w:rsid w:val="00AA73AF"/>
    <w:rsid w:val="00AC2D93"/>
    <w:rsid w:val="00AE3373"/>
    <w:rsid w:val="00AF1BFF"/>
    <w:rsid w:val="00AF4C12"/>
    <w:rsid w:val="00B15C72"/>
    <w:rsid w:val="00B40B13"/>
    <w:rsid w:val="00B455A5"/>
    <w:rsid w:val="00B45FFB"/>
    <w:rsid w:val="00BA5DAD"/>
    <w:rsid w:val="00BC633A"/>
    <w:rsid w:val="00BD0509"/>
    <w:rsid w:val="00BF7159"/>
    <w:rsid w:val="00C06C10"/>
    <w:rsid w:val="00C17AF4"/>
    <w:rsid w:val="00C27066"/>
    <w:rsid w:val="00C35908"/>
    <w:rsid w:val="00C529E0"/>
    <w:rsid w:val="00C716D1"/>
    <w:rsid w:val="00C76D72"/>
    <w:rsid w:val="00CC7F9A"/>
    <w:rsid w:val="00D13759"/>
    <w:rsid w:val="00D20793"/>
    <w:rsid w:val="00D239E4"/>
    <w:rsid w:val="00D34944"/>
    <w:rsid w:val="00D640E8"/>
    <w:rsid w:val="00D65FE9"/>
    <w:rsid w:val="00D67C65"/>
    <w:rsid w:val="00D97E2A"/>
    <w:rsid w:val="00DB4FEA"/>
    <w:rsid w:val="00DD190A"/>
    <w:rsid w:val="00DD6FAF"/>
    <w:rsid w:val="00DF3889"/>
    <w:rsid w:val="00DF7972"/>
    <w:rsid w:val="00E00F45"/>
    <w:rsid w:val="00E04A05"/>
    <w:rsid w:val="00E1323D"/>
    <w:rsid w:val="00E17B77"/>
    <w:rsid w:val="00E31C8E"/>
    <w:rsid w:val="00E408B7"/>
    <w:rsid w:val="00E44088"/>
    <w:rsid w:val="00E471FE"/>
    <w:rsid w:val="00E94DC7"/>
    <w:rsid w:val="00EC0651"/>
    <w:rsid w:val="00ED2337"/>
    <w:rsid w:val="00EF6523"/>
    <w:rsid w:val="00EF6FED"/>
    <w:rsid w:val="00F6408A"/>
    <w:rsid w:val="00F817C5"/>
    <w:rsid w:val="00F93A15"/>
    <w:rsid w:val="00FC012F"/>
    <w:rsid w:val="00FC7D1B"/>
    <w:rsid w:val="00FD3B95"/>
    <w:rsid w:val="00FD65EA"/>
    <w:rsid w:val="00FE42FE"/>
    <w:rsid w:val="00FE7F4D"/>
    <w:rsid w:val="00FF1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0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3048"/>
    <w:pPr>
      <w:widowControl w:val="0"/>
      <w:spacing w:after="0"/>
      <w:jc w:val="both"/>
    </w:pPr>
  </w:style>
  <w:style w:type="paragraph" w:styleId="a4">
    <w:name w:val="header"/>
    <w:basedOn w:val="a"/>
    <w:link w:val="a5"/>
    <w:uiPriority w:val="99"/>
    <w:unhideWhenUsed/>
    <w:rsid w:val="0098732C"/>
    <w:pPr>
      <w:tabs>
        <w:tab w:val="center" w:pos="4252"/>
        <w:tab w:val="right" w:pos="8504"/>
      </w:tabs>
      <w:snapToGrid w:val="0"/>
    </w:pPr>
  </w:style>
  <w:style w:type="character" w:customStyle="1" w:styleId="a5">
    <w:name w:val="ヘッダー (文字)"/>
    <w:basedOn w:val="a0"/>
    <w:link w:val="a4"/>
    <w:uiPriority w:val="99"/>
    <w:rsid w:val="0098732C"/>
  </w:style>
  <w:style w:type="paragraph" w:styleId="a6">
    <w:name w:val="footer"/>
    <w:basedOn w:val="a"/>
    <w:link w:val="a7"/>
    <w:uiPriority w:val="99"/>
    <w:unhideWhenUsed/>
    <w:rsid w:val="0098732C"/>
    <w:pPr>
      <w:tabs>
        <w:tab w:val="center" w:pos="4252"/>
        <w:tab w:val="right" w:pos="8504"/>
      </w:tabs>
      <w:snapToGrid w:val="0"/>
    </w:pPr>
  </w:style>
  <w:style w:type="character" w:customStyle="1" w:styleId="a7">
    <w:name w:val="フッター (文字)"/>
    <w:basedOn w:val="a0"/>
    <w:link w:val="a6"/>
    <w:uiPriority w:val="99"/>
    <w:rsid w:val="0098732C"/>
  </w:style>
  <w:style w:type="paragraph" w:styleId="a8">
    <w:name w:val="Balloon Text"/>
    <w:basedOn w:val="a"/>
    <w:link w:val="a9"/>
    <w:uiPriority w:val="99"/>
    <w:semiHidden/>
    <w:unhideWhenUsed/>
    <w:rsid w:val="000304C3"/>
    <w:pPr>
      <w:spacing w:after="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04C3"/>
    <w:rPr>
      <w:rFonts w:asciiTheme="majorHAnsi" w:eastAsiaTheme="majorEastAsia" w:hAnsiTheme="majorHAnsi" w:cstheme="majorBidi"/>
      <w:sz w:val="18"/>
      <w:szCs w:val="18"/>
    </w:rPr>
  </w:style>
  <w:style w:type="paragraph" w:styleId="aa">
    <w:name w:val="Body Text Indent"/>
    <w:basedOn w:val="a"/>
    <w:link w:val="ab"/>
    <w:rsid w:val="003D2124"/>
    <w:pPr>
      <w:spacing w:after="0"/>
      <w:ind w:left="315" w:hangingChars="150" w:hanging="315"/>
    </w:pPr>
    <w:rPr>
      <w:rFonts w:ascii="Times New Roman" w:eastAsia="ＭＳ 明朝" w:hAnsi="Times New Roman" w:cs="Times New Roman"/>
      <w:szCs w:val="24"/>
    </w:rPr>
  </w:style>
  <w:style w:type="character" w:customStyle="1" w:styleId="ab">
    <w:name w:val="本文インデント (文字)"/>
    <w:basedOn w:val="a0"/>
    <w:link w:val="aa"/>
    <w:rsid w:val="003D2124"/>
    <w:rPr>
      <w:rFonts w:ascii="Times New Roman" w:eastAsia="ＭＳ 明朝" w:hAnsi="Times New Roman" w:cs="Times New Roman"/>
      <w:szCs w:val="24"/>
    </w:rPr>
  </w:style>
  <w:style w:type="paragraph" w:styleId="ac">
    <w:name w:val="footnote text"/>
    <w:basedOn w:val="a"/>
    <w:link w:val="ad"/>
    <w:uiPriority w:val="99"/>
    <w:unhideWhenUsed/>
    <w:rsid w:val="007C10F3"/>
    <w:pPr>
      <w:snapToGrid w:val="0"/>
      <w:jc w:val="left"/>
    </w:pPr>
  </w:style>
  <w:style w:type="character" w:customStyle="1" w:styleId="ad">
    <w:name w:val="脚注文字列 (文字)"/>
    <w:basedOn w:val="a0"/>
    <w:link w:val="ac"/>
    <w:uiPriority w:val="99"/>
    <w:rsid w:val="007C10F3"/>
  </w:style>
  <w:style w:type="character" w:styleId="ae">
    <w:name w:val="footnote reference"/>
    <w:basedOn w:val="a0"/>
    <w:uiPriority w:val="99"/>
    <w:semiHidden/>
    <w:unhideWhenUsed/>
    <w:rsid w:val="007C10F3"/>
    <w:rPr>
      <w:vertAlign w:val="superscript"/>
    </w:rPr>
  </w:style>
  <w:style w:type="paragraph" w:styleId="af">
    <w:name w:val="Closing"/>
    <w:basedOn w:val="a"/>
    <w:link w:val="af0"/>
    <w:rsid w:val="00C35908"/>
    <w:pPr>
      <w:spacing w:after="0"/>
      <w:jc w:val="right"/>
    </w:pPr>
    <w:rPr>
      <w:rFonts w:ascii="Times New Roman" w:eastAsia="ＭＳ 明朝" w:hAnsi="Times New Roman" w:cs="Times New Roman"/>
      <w:kern w:val="0"/>
      <w:sz w:val="24"/>
      <w:szCs w:val="38"/>
    </w:rPr>
  </w:style>
  <w:style w:type="character" w:customStyle="1" w:styleId="af0">
    <w:name w:val="結語 (文字)"/>
    <w:basedOn w:val="a0"/>
    <w:link w:val="af"/>
    <w:rsid w:val="00C35908"/>
    <w:rPr>
      <w:rFonts w:ascii="Times New Roman" w:eastAsia="ＭＳ 明朝" w:hAnsi="Times New Roman" w:cs="Times New Roman"/>
      <w:kern w:val="0"/>
      <w:sz w:val="24"/>
      <w:szCs w:val="38"/>
    </w:rPr>
  </w:style>
  <w:style w:type="character" w:styleId="af1">
    <w:name w:val="Hyperlink"/>
    <w:basedOn w:val="a0"/>
    <w:uiPriority w:val="99"/>
    <w:unhideWhenUsed/>
    <w:rsid w:val="003647BB"/>
    <w:rPr>
      <w:color w:val="0000FF" w:themeColor="hyperlink"/>
      <w:u w:val="single"/>
    </w:rPr>
  </w:style>
  <w:style w:type="character" w:styleId="af2">
    <w:name w:val="FollowedHyperlink"/>
    <w:basedOn w:val="a0"/>
    <w:uiPriority w:val="99"/>
    <w:semiHidden/>
    <w:unhideWhenUsed/>
    <w:rsid w:val="00642E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0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3048"/>
    <w:pPr>
      <w:widowControl w:val="0"/>
      <w:spacing w:after="0"/>
      <w:jc w:val="both"/>
    </w:pPr>
  </w:style>
  <w:style w:type="paragraph" w:styleId="a4">
    <w:name w:val="header"/>
    <w:basedOn w:val="a"/>
    <w:link w:val="a5"/>
    <w:uiPriority w:val="99"/>
    <w:unhideWhenUsed/>
    <w:rsid w:val="0098732C"/>
    <w:pPr>
      <w:tabs>
        <w:tab w:val="center" w:pos="4252"/>
        <w:tab w:val="right" w:pos="8504"/>
      </w:tabs>
      <w:snapToGrid w:val="0"/>
    </w:pPr>
  </w:style>
  <w:style w:type="character" w:customStyle="1" w:styleId="a5">
    <w:name w:val="ヘッダー (文字)"/>
    <w:basedOn w:val="a0"/>
    <w:link w:val="a4"/>
    <w:uiPriority w:val="99"/>
    <w:rsid w:val="0098732C"/>
  </w:style>
  <w:style w:type="paragraph" w:styleId="a6">
    <w:name w:val="footer"/>
    <w:basedOn w:val="a"/>
    <w:link w:val="a7"/>
    <w:uiPriority w:val="99"/>
    <w:unhideWhenUsed/>
    <w:rsid w:val="0098732C"/>
    <w:pPr>
      <w:tabs>
        <w:tab w:val="center" w:pos="4252"/>
        <w:tab w:val="right" w:pos="8504"/>
      </w:tabs>
      <w:snapToGrid w:val="0"/>
    </w:pPr>
  </w:style>
  <w:style w:type="character" w:customStyle="1" w:styleId="a7">
    <w:name w:val="フッター (文字)"/>
    <w:basedOn w:val="a0"/>
    <w:link w:val="a6"/>
    <w:uiPriority w:val="99"/>
    <w:rsid w:val="0098732C"/>
  </w:style>
  <w:style w:type="paragraph" w:styleId="a8">
    <w:name w:val="Balloon Text"/>
    <w:basedOn w:val="a"/>
    <w:link w:val="a9"/>
    <w:uiPriority w:val="99"/>
    <w:semiHidden/>
    <w:unhideWhenUsed/>
    <w:rsid w:val="000304C3"/>
    <w:pPr>
      <w:spacing w:after="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04C3"/>
    <w:rPr>
      <w:rFonts w:asciiTheme="majorHAnsi" w:eastAsiaTheme="majorEastAsia" w:hAnsiTheme="majorHAnsi" w:cstheme="majorBidi"/>
      <w:sz w:val="18"/>
      <w:szCs w:val="18"/>
    </w:rPr>
  </w:style>
  <w:style w:type="paragraph" w:styleId="aa">
    <w:name w:val="Body Text Indent"/>
    <w:basedOn w:val="a"/>
    <w:link w:val="ab"/>
    <w:rsid w:val="003D2124"/>
    <w:pPr>
      <w:spacing w:after="0"/>
      <w:ind w:left="315" w:hangingChars="150" w:hanging="315"/>
    </w:pPr>
    <w:rPr>
      <w:rFonts w:ascii="Times New Roman" w:eastAsia="ＭＳ 明朝" w:hAnsi="Times New Roman" w:cs="Times New Roman"/>
      <w:szCs w:val="24"/>
    </w:rPr>
  </w:style>
  <w:style w:type="character" w:customStyle="1" w:styleId="ab">
    <w:name w:val="本文インデント (文字)"/>
    <w:basedOn w:val="a0"/>
    <w:link w:val="aa"/>
    <w:rsid w:val="003D2124"/>
    <w:rPr>
      <w:rFonts w:ascii="Times New Roman" w:eastAsia="ＭＳ 明朝" w:hAnsi="Times New Roman" w:cs="Times New Roman"/>
      <w:szCs w:val="24"/>
    </w:rPr>
  </w:style>
  <w:style w:type="paragraph" w:styleId="ac">
    <w:name w:val="footnote text"/>
    <w:basedOn w:val="a"/>
    <w:link w:val="ad"/>
    <w:uiPriority w:val="99"/>
    <w:unhideWhenUsed/>
    <w:rsid w:val="007C10F3"/>
    <w:pPr>
      <w:snapToGrid w:val="0"/>
      <w:jc w:val="left"/>
    </w:pPr>
  </w:style>
  <w:style w:type="character" w:customStyle="1" w:styleId="ad">
    <w:name w:val="脚注文字列 (文字)"/>
    <w:basedOn w:val="a0"/>
    <w:link w:val="ac"/>
    <w:uiPriority w:val="99"/>
    <w:rsid w:val="007C10F3"/>
  </w:style>
  <w:style w:type="character" w:styleId="ae">
    <w:name w:val="footnote reference"/>
    <w:basedOn w:val="a0"/>
    <w:uiPriority w:val="99"/>
    <w:semiHidden/>
    <w:unhideWhenUsed/>
    <w:rsid w:val="007C10F3"/>
    <w:rPr>
      <w:vertAlign w:val="superscript"/>
    </w:rPr>
  </w:style>
  <w:style w:type="paragraph" w:styleId="af">
    <w:name w:val="Closing"/>
    <w:basedOn w:val="a"/>
    <w:link w:val="af0"/>
    <w:rsid w:val="00C35908"/>
    <w:pPr>
      <w:spacing w:after="0"/>
      <w:jc w:val="right"/>
    </w:pPr>
    <w:rPr>
      <w:rFonts w:ascii="Times New Roman" w:eastAsia="ＭＳ 明朝" w:hAnsi="Times New Roman" w:cs="Times New Roman"/>
      <w:kern w:val="0"/>
      <w:sz w:val="24"/>
      <w:szCs w:val="38"/>
    </w:rPr>
  </w:style>
  <w:style w:type="character" w:customStyle="1" w:styleId="af0">
    <w:name w:val="結語 (文字)"/>
    <w:basedOn w:val="a0"/>
    <w:link w:val="af"/>
    <w:rsid w:val="00C35908"/>
    <w:rPr>
      <w:rFonts w:ascii="Times New Roman" w:eastAsia="ＭＳ 明朝" w:hAnsi="Times New Roman" w:cs="Times New Roman"/>
      <w:kern w:val="0"/>
      <w:sz w:val="24"/>
      <w:szCs w:val="38"/>
    </w:rPr>
  </w:style>
  <w:style w:type="character" w:styleId="af1">
    <w:name w:val="Hyperlink"/>
    <w:basedOn w:val="a0"/>
    <w:uiPriority w:val="99"/>
    <w:unhideWhenUsed/>
    <w:rsid w:val="003647BB"/>
    <w:rPr>
      <w:color w:val="0000FF" w:themeColor="hyperlink"/>
      <w:u w:val="single"/>
    </w:rPr>
  </w:style>
  <w:style w:type="character" w:styleId="af2">
    <w:name w:val="FollowedHyperlink"/>
    <w:basedOn w:val="a0"/>
    <w:uiPriority w:val="99"/>
    <w:semiHidden/>
    <w:unhideWhenUsed/>
    <w:rsid w:val="00642E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3956">
      <w:bodyDiv w:val="1"/>
      <w:marLeft w:val="0"/>
      <w:marRight w:val="0"/>
      <w:marTop w:val="0"/>
      <w:marBottom w:val="0"/>
      <w:divBdr>
        <w:top w:val="none" w:sz="0" w:space="0" w:color="auto"/>
        <w:left w:val="none" w:sz="0" w:space="0" w:color="auto"/>
        <w:bottom w:val="none" w:sz="0" w:space="0" w:color="auto"/>
        <w:right w:val="none" w:sz="0" w:space="0" w:color="auto"/>
      </w:divBdr>
    </w:div>
    <w:div w:id="74938108">
      <w:bodyDiv w:val="1"/>
      <w:marLeft w:val="0"/>
      <w:marRight w:val="0"/>
      <w:marTop w:val="0"/>
      <w:marBottom w:val="0"/>
      <w:divBdr>
        <w:top w:val="none" w:sz="0" w:space="0" w:color="auto"/>
        <w:left w:val="none" w:sz="0" w:space="0" w:color="auto"/>
        <w:bottom w:val="none" w:sz="0" w:space="0" w:color="auto"/>
        <w:right w:val="none" w:sz="0" w:space="0" w:color="auto"/>
      </w:divBdr>
      <w:divsChild>
        <w:div w:id="429468186">
          <w:marLeft w:val="547"/>
          <w:marRight w:val="0"/>
          <w:marTop w:val="115"/>
          <w:marBottom w:val="0"/>
          <w:divBdr>
            <w:top w:val="none" w:sz="0" w:space="0" w:color="auto"/>
            <w:left w:val="none" w:sz="0" w:space="0" w:color="auto"/>
            <w:bottom w:val="none" w:sz="0" w:space="0" w:color="auto"/>
            <w:right w:val="none" w:sz="0" w:space="0" w:color="auto"/>
          </w:divBdr>
        </w:div>
        <w:div w:id="689376096">
          <w:marLeft w:val="547"/>
          <w:marRight w:val="0"/>
          <w:marTop w:val="115"/>
          <w:marBottom w:val="0"/>
          <w:divBdr>
            <w:top w:val="none" w:sz="0" w:space="0" w:color="auto"/>
            <w:left w:val="none" w:sz="0" w:space="0" w:color="auto"/>
            <w:bottom w:val="none" w:sz="0" w:space="0" w:color="auto"/>
            <w:right w:val="none" w:sz="0" w:space="0" w:color="auto"/>
          </w:divBdr>
        </w:div>
        <w:div w:id="769853380">
          <w:marLeft w:val="547"/>
          <w:marRight w:val="0"/>
          <w:marTop w:val="115"/>
          <w:marBottom w:val="0"/>
          <w:divBdr>
            <w:top w:val="none" w:sz="0" w:space="0" w:color="auto"/>
            <w:left w:val="none" w:sz="0" w:space="0" w:color="auto"/>
            <w:bottom w:val="none" w:sz="0" w:space="0" w:color="auto"/>
            <w:right w:val="none" w:sz="0" w:space="0" w:color="auto"/>
          </w:divBdr>
        </w:div>
        <w:div w:id="973489207">
          <w:marLeft w:val="547"/>
          <w:marRight w:val="0"/>
          <w:marTop w:val="115"/>
          <w:marBottom w:val="0"/>
          <w:divBdr>
            <w:top w:val="none" w:sz="0" w:space="0" w:color="auto"/>
            <w:left w:val="none" w:sz="0" w:space="0" w:color="auto"/>
            <w:bottom w:val="none" w:sz="0" w:space="0" w:color="auto"/>
            <w:right w:val="none" w:sz="0" w:space="0" w:color="auto"/>
          </w:divBdr>
        </w:div>
        <w:div w:id="1278290145">
          <w:marLeft w:val="547"/>
          <w:marRight w:val="0"/>
          <w:marTop w:val="115"/>
          <w:marBottom w:val="0"/>
          <w:divBdr>
            <w:top w:val="none" w:sz="0" w:space="0" w:color="auto"/>
            <w:left w:val="none" w:sz="0" w:space="0" w:color="auto"/>
            <w:bottom w:val="none" w:sz="0" w:space="0" w:color="auto"/>
            <w:right w:val="none" w:sz="0" w:space="0" w:color="auto"/>
          </w:divBdr>
        </w:div>
        <w:div w:id="1576285164">
          <w:marLeft w:val="547"/>
          <w:marRight w:val="0"/>
          <w:marTop w:val="115"/>
          <w:marBottom w:val="0"/>
          <w:divBdr>
            <w:top w:val="none" w:sz="0" w:space="0" w:color="auto"/>
            <w:left w:val="none" w:sz="0" w:space="0" w:color="auto"/>
            <w:bottom w:val="none" w:sz="0" w:space="0" w:color="auto"/>
            <w:right w:val="none" w:sz="0" w:space="0" w:color="auto"/>
          </w:divBdr>
        </w:div>
      </w:divsChild>
    </w:div>
    <w:div w:id="100036572">
      <w:bodyDiv w:val="1"/>
      <w:marLeft w:val="0"/>
      <w:marRight w:val="0"/>
      <w:marTop w:val="0"/>
      <w:marBottom w:val="0"/>
      <w:divBdr>
        <w:top w:val="none" w:sz="0" w:space="0" w:color="auto"/>
        <w:left w:val="none" w:sz="0" w:space="0" w:color="auto"/>
        <w:bottom w:val="none" w:sz="0" w:space="0" w:color="auto"/>
        <w:right w:val="none" w:sz="0" w:space="0" w:color="auto"/>
      </w:divBdr>
      <w:divsChild>
        <w:div w:id="44765796">
          <w:marLeft w:val="547"/>
          <w:marRight w:val="0"/>
          <w:marTop w:val="130"/>
          <w:marBottom w:val="0"/>
          <w:divBdr>
            <w:top w:val="none" w:sz="0" w:space="0" w:color="auto"/>
            <w:left w:val="none" w:sz="0" w:space="0" w:color="auto"/>
            <w:bottom w:val="none" w:sz="0" w:space="0" w:color="auto"/>
            <w:right w:val="none" w:sz="0" w:space="0" w:color="auto"/>
          </w:divBdr>
        </w:div>
        <w:div w:id="960963754">
          <w:marLeft w:val="547"/>
          <w:marRight w:val="0"/>
          <w:marTop w:val="130"/>
          <w:marBottom w:val="0"/>
          <w:divBdr>
            <w:top w:val="none" w:sz="0" w:space="0" w:color="auto"/>
            <w:left w:val="none" w:sz="0" w:space="0" w:color="auto"/>
            <w:bottom w:val="none" w:sz="0" w:space="0" w:color="auto"/>
            <w:right w:val="none" w:sz="0" w:space="0" w:color="auto"/>
          </w:divBdr>
        </w:div>
        <w:div w:id="1190338782">
          <w:marLeft w:val="806"/>
          <w:marRight w:val="0"/>
          <w:marTop w:val="130"/>
          <w:marBottom w:val="0"/>
          <w:divBdr>
            <w:top w:val="none" w:sz="0" w:space="0" w:color="auto"/>
            <w:left w:val="none" w:sz="0" w:space="0" w:color="auto"/>
            <w:bottom w:val="none" w:sz="0" w:space="0" w:color="auto"/>
            <w:right w:val="none" w:sz="0" w:space="0" w:color="auto"/>
          </w:divBdr>
        </w:div>
        <w:div w:id="1466463772">
          <w:marLeft w:val="806"/>
          <w:marRight w:val="0"/>
          <w:marTop w:val="130"/>
          <w:marBottom w:val="0"/>
          <w:divBdr>
            <w:top w:val="none" w:sz="0" w:space="0" w:color="auto"/>
            <w:left w:val="none" w:sz="0" w:space="0" w:color="auto"/>
            <w:bottom w:val="none" w:sz="0" w:space="0" w:color="auto"/>
            <w:right w:val="none" w:sz="0" w:space="0" w:color="auto"/>
          </w:divBdr>
        </w:div>
        <w:div w:id="1704817499">
          <w:marLeft w:val="806"/>
          <w:marRight w:val="0"/>
          <w:marTop w:val="130"/>
          <w:marBottom w:val="0"/>
          <w:divBdr>
            <w:top w:val="none" w:sz="0" w:space="0" w:color="auto"/>
            <w:left w:val="none" w:sz="0" w:space="0" w:color="auto"/>
            <w:bottom w:val="none" w:sz="0" w:space="0" w:color="auto"/>
            <w:right w:val="none" w:sz="0" w:space="0" w:color="auto"/>
          </w:divBdr>
        </w:div>
        <w:div w:id="2070957276">
          <w:marLeft w:val="806"/>
          <w:marRight w:val="0"/>
          <w:marTop w:val="130"/>
          <w:marBottom w:val="0"/>
          <w:divBdr>
            <w:top w:val="none" w:sz="0" w:space="0" w:color="auto"/>
            <w:left w:val="none" w:sz="0" w:space="0" w:color="auto"/>
            <w:bottom w:val="none" w:sz="0" w:space="0" w:color="auto"/>
            <w:right w:val="none" w:sz="0" w:space="0" w:color="auto"/>
          </w:divBdr>
        </w:div>
      </w:divsChild>
    </w:div>
    <w:div w:id="101196548">
      <w:bodyDiv w:val="1"/>
      <w:marLeft w:val="0"/>
      <w:marRight w:val="0"/>
      <w:marTop w:val="0"/>
      <w:marBottom w:val="0"/>
      <w:divBdr>
        <w:top w:val="none" w:sz="0" w:space="0" w:color="auto"/>
        <w:left w:val="none" w:sz="0" w:space="0" w:color="auto"/>
        <w:bottom w:val="none" w:sz="0" w:space="0" w:color="auto"/>
        <w:right w:val="none" w:sz="0" w:space="0" w:color="auto"/>
      </w:divBdr>
      <w:divsChild>
        <w:div w:id="1415542479">
          <w:marLeft w:val="547"/>
          <w:marRight w:val="0"/>
          <w:marTop w:val="130"/>
          <w:marBottom w:val="0"/>
          <w:divBdr>
            <w:top w:val="none" w:sz="0" w:space="0" w:color="auto"/>
            <w:left w:val="none" w:sz="0" w:space="0" w:color="auto"/>
            <w:bottom w:val="none" w:sz="0" w:space="0" w:color="auto"/>
            <w:right w:val="none" w:sz="0" w:space="0" w:color="auto"/>
          </w:divBdr>
        </w:div>
        <w:div w:id="1784417664">
          <w:marLeft w:val="547"/>
          <w:marRight w:val="0"/>
          <w:marTop w:val="130"/>
          <w:marBottom w:val="0"/>
          <w:divBdr>
            <w:top w:val="none" w:sz="0" w:space="0" w:color="auto"/>
            <w:left w:val="none" w:sz="0" w:space="0" w:color="auto"/>
            <w:bottom w:val="none" w:sz="0" w:space="0" w:color="auto"/>
            <w:right w:val="none" w:sz="0" w:space="0" w:color="auto"/>
          </w:divBdr>
        </w:div>
        <w:div w:id="2112889261">
          <w:marLeft w:val="547"/>
          <w:marRight w:val="0"/>
          <w:marTop w:val="130"/>
          <w:marBottom w:val="0"/>
          <w:divBdr>
            <w:top w:val="none" w:sz="0" w:space="0" w:color="auto"/>
            <w:left w:val="none" w:sz="0" w:space="0" w:color="auto"/>
            <w:bottom w:val="none" w:sz="0" w:space="0" w:color="auto"/>
            <w:right w:val="none" w:sz="0" w:space="0" w:color="auto"/>
          </w:divBdr>
        </w:div>
      </w:divsChild>
    </w:div>
    <w:div w:id="126971134">
      <w:bodyDiv w:val="1"/>
      <w:marLeft w:val="0"/>
      <w:marRight w:val="0"/>
      <w:marTop w:val="0"/>
      <w:marBottom w:val="0"/>
      <w:divBdr>
        <w:top w:val="none" w:sz="0" w:space="0" w:color="auto"/>
        <w:left w:val="none" w:sz="0" w:space="0" w:color="auto"/>
        <w:bottom w:val="none" w:sz="0" w:space="0" w:color="auto"/>
        <w:right w:val="none" w:sz="0" w:space="0" w:color="auto"/>
      </w:divBdr>
      <w:divsChild>
        <w:div w:id="6372618">
          <w:marLeft w:val="547"/>
          <w:marRight w:val="0"/>
          <w:marTop w:val="130"/>
          <w:marBottom w:val="0"/>
          <w:divBdr>
            <w:top w:val="none" w:sz="0" w:space="0" w:color="auto"/>
            <w:left w:val="none" w:sz="0" w:space="0" w:color="auto"/>
            <w:bottom w:val="none" w:sz="0" w:space="0" w:color="auto"/>
            <w:right w:val="none" w:sz="0" w:space="0" w:color="auto"/>
          </w:divBdr>
        </w:div>
        <w:div w:id="71513359">
          <w:marLeft w:val="547"/>
          <w:marRight w:val="0"/>
          <w:marTop w:val="130"/>
          <w:marBottom w:val="0"/>
          <w:divBdr>
            <w:top w:val="none" w:sz="0" w:space="0" w:color="auto"/>
            <w:left w:val="none" w:sz="0" w:space="0" w:color="auto"/>
            <w:bottom w:val="none" w:sz="0" w:space="0" w:color="auto"/>
            <w:right w:val="none" w:sz="0" w:space="0" w:color="auto"/>
          </w:divBdr>
        </w:div>
        <w:div w:id="368916419">
          <w:marLeft w:val="547"/>
          <w:marRight w:val="0"/>
          <w:marTop w:val="130"/>
          <w:marBottom w:val="0"/>
          <w:divBdr>
            <w:top w:val="none" w:sz="0" w:space="0" w:color="auto"/>
            <w:left w:val="none" w:sz="0" w:space="0" w:color="auto"/>
            <w:bottom w:val="none" w:sz="0" w:space="0" w:color="auto"/>
            <w:right w:val="none" w:sz="0" w:space="0" w:color="auto"/>
          </w:divBdr>
        </w:div>
        <w:div w:id="421147493">
          <w:marLeft w:val="547"/>
          <w:marRight w:val="0"/>
          <w:marTop w:val="130"/>
          <w:marBottom w:val="0"/>
          <w:divBdr>
            <w:top w:val="none" w:sz="0" w:space="0" w:color="auto"/>
            <w:left w:val="none" w:sz="0" w:space="0" w:color="auto"/>
            <w:bottom w:val="none" w:sz="0" w:space="0" w:color="auto"/>
            <w:right w:val="none" w:sz="0" w:space="0" w:color="auto"/>
          </w:divBdr>
        </w:div>
        <w:div w:id="1274092146">
          <w:marLeft w:val="547"/>
          <w:marRight w:val="0"/>
          <w:marTop w:val="130"/>
          <w:marBottom w:val="0"/>
          <w:divBdr>
            <w:top w:val="none" w:sz="0" w:space="0" w:color="auto"/>
            <w:left w:val="none" w:sz="0" w:space="0" w:color="auto"/>
            <w:bottom w:val="none" w:sz="0" w:space="0" w:color="auto"/>
            <w:right w:val="none" w:sz="0" w:space="0" w:color="auto"/>
          </w:divBdr>
        </w:div>
        <w:div w:id="1925332199">
          <w:marLeft w:val="547"/>
          <w:marRight w:val="0"/>
          <w:marTop w:val="130"/>
          <w:marBottom w:val="0"/>
          <w:divBdr>
            <w:top w:val="none" w:sz="0" w:space="0" w:color="auto"/>
            <w:left w:val="none" w:sz="0" w:space="0" w:color="auto"/>
            <w:bottom w:val="none" w:sz="0" w:space="0" w:color="auto"/>
            <w:right w:val="none" w:sz="0" w:space="0" w:color="auto"/>
          </w:divBdr>
        </w:div>
      </w:divsChild>
    </w:div>
    <w:div w:id="201017604">
      <w:bodyDiv w:val="1"/>
      <w:marLeft w:val="0"/>
      <w:marRight w:val="0"/>
      <w:marTop w:val="0"/>
      <w:marBottom w:val="0"/>
      <w:divBdr>
        <w:top w:val="none" w:sz="0" w:space="0" w:color="auto"/>
        <w:left w:val="none" w:sz="0" w:space="0" w:color="auto"/>
        <w:bottom w:val="none" w:sz="0" w:space="0" w:color="auto"/>
        <w:right w:val="none" w:sz="0" w:space="0" w:color="auto"/>
      </w:divBdr>
      <w:divsChild>
        <w:div w:id="107747825">
          <w:marLeft w:val="547"/>
          <w:marRight w:val="0"/>
          <w:marTop w:val="130"/>
          <w:marBottom w:val="0"/>
          <w:divBdr>
            <w:top w:val="none" w:sz="0" w:space="0" w:color="auto"/>
            <w:left w:val="none" w:sz="0" w:space="0" w:color="auto"/>
            <w:bottom w:val="none" w:sz="0" w:space="0" w:color="auto"/>
            <w:right w:val="none" w:sz="0" w:space="0" w:color="auto"/>
          </w:divBdr>
        </w:div>
        <w:div w:id="1247690638">
          <w:marLeft w:val="547"/>
          <w:marRight w:val="0"/>
          <w:marTop w:val="130"/>
          <w:marBottom w:val="0"/>
          <w:divBdr>
            <w:top w:val="none" w:sz="0" w:space="0" w:color="auto"/>
            <w:left w:val="none" w:sz="0" w:space="0" w:color="auto"/>
            <w:bottom w:val="none" w:sz="0" w:space="0" w:color="auto"/>
            <w:right w:val="none" w:sz="0" w:space="0" w:color="auto"/>
          </w:divBdr>
        </w:div>
        <w:div w:id="1323582025">
          <w:marLeft w:val="547"/>
          <w:marRight w:val="0"/>
          <w:marTop w:val="130"/>
          <w:marBottom w:val="0"/>
          <w:divBdr>
            <w:top w:val="none" w:sz="0" w:space="0" w:color="auto"/>
            <w:left w:val="none" w:sz="0" w:space="0" w:color="auto"/>
            <w:bottom w:val="none" w:sz="0" w:space="0" w:color="auto"/>
            <w:right w:val="none" w:sz="0" w:space="0" w:color="auto"/>
          </w:divBdr>
        </w:div>
        <w:div w:id="1636254324">
          <w:marLeft w:val="547"/>
          <w:marRight w:val="0"/>
          <w:marTop w:val="130"/>
          <w:marBottom w:val="0"/>
          <w:divBdr>
            <w:top w:val="none" w:sz="0" w:space="0" w:color="auto"/>
            <w:left w:val="none" w:sz="0" w:space="0" w:color="auto"/>
            <w:bottom w:val="none" w:sz="0" w:space="0" w:color="auto"/>
            <w:right w:val="none" w:sz="0" w:space="0" w:color="auto"/>
          </w:divBdr>
        </w:div>
        <w:div w:id="2107650201">
          <w:marLeft w:val="547"/>
          <w:marRight w:val="0"/>
          <w:marTop w:val="130"/>
          <w:marBottom w:val="0"/>
          <w:divBdr>
            <w:top w:val="none" w:sz="0" w:space="0" w:color="auto"/>
            <w:left w:val="none" w:sz="0" w:space="0" w:color="auto"/>
            <w:bottom w:val="none" w:sz="0" w:space="0" w:color="auto"/>
            <w:right w:val="none" w:sz="0" w:space="0" w:color="auto"/>
          </w:divBdr>
        </w:div>
      </w:divsChild>
    </w:div>
    <w:div w:id="326832067">
      <w:bodyDiv w:val="1"/>
      <w:marLeft w:val="0"/>
      <w:marRight w:val="0"/>
      <w:marTop w:val="0"/>
      <w:marBottom w:val="0"/>
      <w:divBdr>
        <w:top w:val="none" w:sz="0" w:space="0" w:color="auto"/>
        <w:left w:val="none" w:sz="0" w:space="0" w:color="auto"/>
        <w:bottom w:val="none" w:sz="0" w:space="0" w:color="auto"/>
        <w:right w:val="none" w:sz="0" w:space="0" w:color="auto"/>
      </w:divBdr>
    </w:div>
    <w:div w:id="451554174">
      <w:bodyDiv w:val="1"/>
      <w:marLeft w:val="0"/>
      <w:marRight w:val="0"/>
      <w:marTop w:val="0"/>
      <w:marBottom w:val="0"/>
      <w:divBdr>
        <w:top w:val="none" w:sz="0" w:space="0" w:color="auto"/>
        <w:left w:val="none" w:sz="0" w:space="0" w:color="auto"/>
        <w:bottom w:val="none" w:sz="0" w:space="0" w:color="auto"/>
        <w:right w:val="none" w:sz="0" w:space="0" w:color="auto"/>
      </w:divBdr>
      <w:divsChild>
        <w:div w:id="381443124">
          <w:marLeft w:val="547"/>
          <w:marRight w:val="0"/>
          <w:marTop w:val="130"/>
          <w:marBottom w:val="0"/>
          <w:divBdr>
            <w:top w:val="none" w:sz="0" w:space="0" w:color="auto"/>
            <w:left w:val="none" w:sz="0" w:space="0" w:color="auto"/>
            <w:bottom w:val="none" w:sz="0" w:space="0" w:color="auto"/>
            <w:right w:val="none" w:sz="0" w:space="0" w:color="auto"/>
          </w:divBdr>
        </w:div>
        <w:div w:id="415323463">
          <w:marLeft w:val="547"/>
          <w:marRight w:val="0"/>
          <w:marTop w:val="130"/>
          <w:marBottom w:val="0"/>
          <w:divBdr>
            <w:top w:val="none" w:sz="0" w:space="0" w:color="auto"/>
            <w:left w:val="none" w:sz="0" w:space="0" w:color="auto"/>
            <w:bottom w:val="none" w:sz="0" w:space="0" w:color="auto"/>
            <w:right w:val="none" w:sz="0" w:space="0" w:color="auto"/>
          </w:divBdr>
        </w:div>
        <w:div w:id="984504754">
          <w:marLeft w:val="547"/>
          <w:marRight w:val="0"/>
          <w:marTop w:val="130"/>
          <w:marBottom w:val="0"/>
          <w:divBdr>
            <w:top w:val="none" w:sz="0" w:space="0" w:color="auto"/>
            <w:left w:val="none" w:sz="0" w:space="0" w:color="auto"/>
            <w:bottom w:val="none" w:sz="0" w:space="0" w:color="auto"/>
            <w:right w:val="none" w:sz="0" w:space="0" w:color="auto"/>
          </w:divBdr>
        </w:div>
        <w:div w:id="1960800194">
          <w:marLeft w:val="547"/>
          <w:marRight w:val="0"/>
          <w:marTop w:val="130"/>
          <w:marBottom w:val="0"/>
          <w:divBdr>
            <w:top w:val="none" w:sz="0" w:space="0" w:color="auto"/>
            <w:left w:val="none" w:sz="0" w:space="0" w:color="auto"/>
            <w:bottom w:val="none" w:sz="0" w:space="0" w:color="auto"/>
            <w:right w:val="none" w:sz="0" w:space="0" w:color="auto"/>
          </w:divBdr>
        </w:div>
      </w:divsChild>
    </w:div>
    <w:div w:id="487013065">
      <w:bodyDiv w:val="1"/>
      <w:marLeft w:val="0"/>
      <w:marRight w:val="0"/>
      <w:marTop w:val="0"/>
      <w:marBottom w:val="0"/>
      <w:divBdr>
        <w:top w:val="none" w:sz="0" w:space="0" w:color="auto"/>
        <w:left w:val="none" w:sz="0" w:space="0" w:color="auto"/>
        <w:bottom w:val="none" w:sz="0" w:space="0" w:color="auto"/>
        <w:right w:val="none" w:sz="0" w:space="0" w:color="auto"/>
      </w:divBdr>
    </w:div>
    <w:div w:id="544367837">
      <w:bodyDiv w:val="1"/>
      <w:marLeft w:val="0"/>
      <w:marRight w:val="0"/>
      <w:marTop w:val="0"/>
      <w:marBottom w:val="0"/>
      <w:divBdr>
        <w:top w:val="none" w:sz="0" w:space="0" w:color="auto"/>
        <w:left w:val="none" w:sz="0" w:space="0" w:color="auto"/>
        <w:bottom w:val="none" w:sz="0" w:space="0" w:color="auto"/>
        <w:right w:val="none" w:sz="0" w:space="0" w:color="auto"/>
      </w:divBdr>
      <w:divsChild>
        <w:div w:id="133379325">
          <w:marLeft w:val="547"/>
          <w:marRight w:val="0"/>
          <w:marTop w:val="106"/>
          <w:marBottom w:val="0"/>
          <w:divBdr>
            <w:top w:val="none" w:sz="0" w:space="0" w:color="auto"/>
            <w:left w:val="none" w:sz="0" w:space="0" w:color="auto"/>
            <w:bottom w:val="none" w:sz="0" w:space="0" w:color="auto"/>
            <w:right w:val="none" w:sz="0" w:space="0" w:color="auto"/>
          </w:divBdr>
        </w:div>
        <w:div w:id="558132274">
          <w:marLeft w:val="547"/>
          <w:marRight w:val="0"/>
          <w:marTop w:val="106"/>
          <w:marBottom w:val="0"/>
          <w:divBdr>
            <w:top w:val="none" w:sz="0" w:space="0" w:color="auto"/>
            <w:left w:val="none" w:sz="0" w:space="0" w:color="auto"/>
            <w:bottom w:val="none" w:sz="0" w:space="0" w:color="auto"/>
            <w:right w:val="none" w:sz="0" w:space="0" w:color="auto"/>
          </w:divBdr>
        </w:div>
        <w:div w:id="750588900">
          <w:marLeft w:val="547"/>
          <w:marRight w:val="0"/>
          <w:marTop w:val="106"/>
          <w:marBottom w:val="0"/>
          <w:divBdr>
            <w:top w:val="none" w:sz="0" w:space="0" w:color="auto"/>
            <w:left w:val="none" w:sz="0" w:space="0" w:color="auto"/>
            <w:bottom w:val="none" w:sz="0" w:space="0" w:color="auto"/>
            <w:right w:val="none" w:sz="0" w:space="0" w:color="auto"/>
          </w:divBdr>
        </w:div>
        <w:div w:id="922186158">
          <w:marLeft w:val="547"/>
          <w:marRight w:val="0"/>
          <w:marTop w:val="106"/>
          <w:marBottom w:val="0"/>
          <w:divBdr>
            <w:top w:val="none" w:sz="0" w:space="0" w:color="auto"/>
            <w:left w:val="none" w:sz="0" w:space="0" w:color="auto"/>
            <w:bottom w:val="none" w:sz="0" w:space="0" w:color="auto"/>
            <w:right w:val="none" w:sz="0" w:space="0" w:color="auto"/>
          </w:divBdr>
        </w:div>
        <w:div w:id="1042251195">
          <w:marLeft w:val="547"/>
          <w:marRight w:val="0"/>
          <w:marTop w:val="106"/>
          <w:marBottom w:val="0"/>
          <w:divBdr>
            <w:top w:val="none" w:sz="0" w:space="0" w:color="auto"/>
            <w:left w:val="none" w:sz="0" w:space="0" w:color="auto"/>
            <w:bottom w:val="none" w:sz="0" w:space="0" w:color="auto"/>
            <w:right w:val="none" w:sz="0" w:space="0" w:color="auto"/>
          </w:divBdr>
        </w:div>
        <w:div w:id="1611082535">
          <w:marLeft w:val="547"/>
          <w:marRight w:val="0"/>
          <w:marTop w:val="106"/>
          <w:marBottom w:val="0"/>
          <w:divBdr>
            <w:top w:val="none" w:sz="0" w:space="0" w:color="auto"/>
            <w:left w:val="none" w:sz="0" w:space="0" w:color="auto"/>
            <w:bottom w:val="none" w:sz="0" w:space="0" w:color="auto"/>
            <w:right w:val="none" w:sz="0" w:space="0" w:color="auto"/>
          </w:divBdr>
        </w:div>
        <w:div w:id="1711801085">
          <w:marLeft w:val="547"/>
          <w:marRight w:val="0"/>
          <w:marTop w:val="106"/>
          <w:marBottom w:val="0"/>
          <w:divBdr>
            <w:top w:val="none" w:sz="0" w:space="0" w:color="auto"/>
            <w:left w:val="none" w:sz="0" w:space="0" w:color="auto"/>
            <w:bottom w:val="none" w:sz="0" w:space="0" w:color="auto"/>
            <w:right w:val="none" w:sz="0" w:space="0" w:color="auto"/>
          </w:divBdr>
        </w:div>
        <w:div w:id="2090686504">
          <w:marLeft w:val="547"/>
          <w:marRight w:val="0"/>
          <w:marTop w:val="106"/>
          <w:marBottom w:val="0"/>
          <w:divBdr>
            <w:top w:val="none" w:sz="0" w:space="0" w:color="auto"/>
            <w:left w:val="none" w:sz="0" w:space="0" w:color="auto"/>
            <w:bottom w:val="none" w:sz="0" w:space="0" w:color="auto"/>
            <w:right w:val="none" w:sz="0" w:space="0" w:color="auto"/>
          </w:divBdr>
        </w:div>
      </w:divsChild>
    </w:div>
    <w:div w:id="686250735">
      <w:bodyDiv w:val="1"/>
      <w:marLeft w:val="0"/>
      <w:marRight w:val="0"/>
      <w:marTop w:val="0"/>
      <w:marBottom w:val="0"/>
      <w:divBdr>
        <w:top w:val="none" w:sz="0" w:space="0" w:color="auto"/>
        <w:left w:val="none" w:sz="0" w:space="0" w:color="auto"/>
        <w:bottom w:val="none" w:sz="0" w:space="0" w:color="auto"/>
        <w:right w:val="none" w:sz="0" w:space="0" w:color="auto"/>
      </w:divBdr>
      <w:divsChild>
        <w:div w:id="41027862">
          <w:marLeft w:val="547"/>
          <w:marRight w:val="0"/>
          <w:marTop w:val="130"/>
          <w:marBottom w:val="0"/>
          <w:divBdr>
            <w:top w:val="none" w:sz="0" w:space="0" w:color="auto"/>
            <w:left w:val="none" w:sz="0" w:space="0" w:color="auto"/>
            <w:bottom w:val="none" w:sz="0" w:space="0" w:color="auto"/>
            <w:right w:val="none" w:sz="0" w:space="0" w:color="auto"/>
          </w:divBdr>
        </w:div>
        <w:div w:id="446974973">
          <w:marLeft w:val="547"/>
          <w:marRight w:val="0"/>
          <w:marTop w:val="130"/>
          <w:marBottom w:val="0"/>
          <w:divBdr>
            <w:top w:val="none" w:sz="0" w:space="0" w:color="auto"/>
            <w:left w:val="none" w:sz="0" w:space="0" w:color="auto"/>
            <w:bottom w:val="none" w:sz="0" w:space="0" w:color="auto"/>
            <w:right w:val="none" w:sz="0" w:space="0" w:color="auto"/>
          </w:divBdr>
        </w:div>
        <w:div w:id="1367675508">
          <w:marLeft w:val="547"/>
          <w:marRight w:val="0"/>
          <w:marTop w:val="130"/>
          <w:marBottom w:val="0"/>
          <w:divBdr>
            <w:top w:val="none" w:sz="0" w:space="0" w:color="auto"/>
            <w:left w:val="none" w:sz="0" w:space="0" w:color="auto"/>
            <w:bottom w:val="none" w:sz="0" w:space="0" w:color="auto"/>
            <w:right w:val="none" w:sz="0" w:space="0" w:color="auto"/>
          </w:divBdr>
        </w:div>
        <w:div w:id="1386219632">
          <w:marLeft w:val="547"/>
          <w:marRight w:val="0"/>
          <w:marTop w:val="130"/>
          <w:marBottom w:val="0"/>
          <w:divBdr>
            <w:top w:val="none" w:sz="0" w:space="0" w:color="auto"/>
            <w:left w:val="none" w:sz="0" w:space="0" w:color="auto"/>
            <w:bottom w:val="none" w:sz="0" w:space="0" w:color="auto"/>
            <w:right w:val="none" w:sz="0" w:space="0" w:color="auto"/>
          </w:divBdr>
        </w:div>
        <w:div w:id="2088378759">
          <w:marLeft w:val="547"/>
          <w:marRight w:val="0"/>
          <w:marTop w:val="130"/>
          <w:marBottom w:val="0"/>
          <w:divBdr>
            <w:top w:val="none" w:sz="0" w:space="0" w:color="auto"/>
            <w:left w:val="none" w:sz="0" w:space="0" w:color="auto"/>
            <w:bottom w:val="none" w:sz="0" w:space="0" w:color="auto"/>
            <w:right w:val="none" w:sz="0" w:space="0" w:color="auto"/>
          </w:divBdr>
        </w:div>
      </w:divsChild>
    </w:div>
    <w:div w:id="860702984">
      <w:bodyDiv w:val="1"/>
      <w:marLeft w:val="0"/>
      <w:marRight w:val="0"/>
      <w:marTop w:val="0"/>
      <w:marBottom w:val="0"/>
      <w:divBdr>
        <w:top w:val="none" w:sz="0" w:space="0" w:color="auto"/>
        <w:left w:val="none" w:sz="0" w:space="0" w:color="auto"/>
        <w:bottom w:val="none" w:sz="0" w:space="0" w:color="auto"/>
        <w:right w:val="none" w:sz="0" w:space="0" w:color="auto"/>
      </w:divBdr>
      <w:divsChild>
        <w:div w:id="458492500">
          <w:marLeft w:val="547"/>
          <w:marRight w:val="0"/>
          <w:marTop w:val="144"/>
          <w:marBottom w:val="0"/>
          <w:divBdr>
            <w:top w:val="none" w:sz="0" w:space="0" w:color="auto"/>
            <w:left w:val="none" w:sz="0" w:space="0" w:color="auto"/>
            <w:bottom w:val="none" w:sz="0" w:space="0" w:color="auto"/>
            <w:right w:val="none" w:sz="0" w:space="0" w:color="auto"/>
          </w:divBdr>
        </w:div>
        <w:div w:id="859047869">
          <w:marLeft w:val="547"/>
          <w:marRight w:val="0"/>
          <w:marTop w:val="144"/>
          <w:marBottom w:val="0"/>
          <w:divBdr>
            <w:top w:val="none" w:sz="0" w:space="0" w:color="auto"/>
            <w:left w:val="none" w:sz="0" w:space="0" w:color="auto"/>
            <w:bottom w:val="none" w:sz="0" w:space="0" w:color="auto"/>
            <w:right w:val="none" w:sz="0" w:space="0" w:color="auto"/>
          </w:divBdr>
        </w:div>
        <w:div w:id="2037192120">
          <w:marLeft w:val="547"/>
          <w:marRight w:val="0"/>
          <w:marTop w:val="144"/>
          <w:marBottom w:val="0"/>
          <w:divBdr>
            <w:top w:val="none" w:sz="0" w:space="0" w:color="auto"/>
            <w:left w:val="none" w:sz="0" w:space="0" w:color="auto"/>
            <w:bottom w:val="none" w:sz="0" w:space="0" w:color="auto"/>
            <w:right w:val="none" w:sz="0" w:space="0" w:color="auto"/>
          </w:divBdr>
        </w:div>
      </w:divsChild>
    </w:div>
    <w:div w:id="870075377">
      <w:bodyDiv w:val="1"/>
      <w:marLeft w:val="0"/>
      <w:marRight w:val="0"/>
      <w:marTop w:val="0"/>
      <w:marBottom w:val="0"/>
      <w:divBdr>
        <w:top w:val="none" w:sz="0" w:space="0" w:color="auto"/>
        <w:left w:val="none" w:sz="0" w:space="0" w:color="auto"/>
        <w:bottom w:val="none" w:sz="0" w:space="0" w:color="auto"/>
        <w:right w:val="none" w:sz="0" w:space="0" w:color="auto"/>
      </w:divBdr>
      <w:divsChild>
        <w:div w:id="496650235">
          <w:marLeft w:val="547"/>
          <w:marRight w:val="0"/>
          <w:marTop w:val="106"/>
          <w:marBottom w:val="0"/>
          <w:divBdr>
            <w:top w:val="none" w:sz="0" w:space="0" w:color="auto"/>
            <w:left w:val="none" w:sz="0" w:space="0" w:color="auto"/>
            <w:bottom w:val="none" w:sz="0" w:space="0" w:color="auto"/>
            <w:right w:val="none" w:sz="0" w:space="0" w:color="auto"/>
          </w:divBdr>
        </w:div>
        <w:div w:id="585726565">
          <w:marLeft w:val="547"/>
          <w:marRight w:val="0"/>
          <w:marTop w:val="106"/>
          <w:marBottom w:val="0"/>
          <w:divBdr>
            <w:top w:val="none" w:sz="0" w:space="0" w:color="auto"/>
            <w:left w:val="none" w:sz="0" w:space="0" w:color="auto"/>
            <w:bottom w:val="none" w:sz="0" w:space="0" w:color="auto"/>
            <w:right w:val="none" w:sz="0" w:space="0" w:color="auto"/>
          </w:divBdr>
        </w:div>
        <w:div w:id="937493332">
          <w:marLeft w:val="547"/>
          <w:marRight w:val="0"/>
          <w:marTop w:val="106"/>
          <w:marBottom w:val="0"/>
          <w:divBdr>
            <w:top w:val="none" w:sz="0" w:space="0" w:color="auto"/>
            <w:left w:val="none" w:sz="0" w:space="0" w:color="auto"/>
            <w:bottom w:val="none" w:sz="0" w:space="0" w:color="auto"/>
            <w:right w:val="none" w:sz="0" w:space="0" w:color="auto"/>
          </w:divBdr>
        </w:div>
        <w:div w:id="1616979770">
          <w:marLeft w:val="547"/>
          <w:marRight w:val="0"/>
          <w:marTop w:val="106"/>
          <w:marBottom w:val="0"/>
          <w:divBdr>
            <w:top w:val="none" w:sz="0" w:space="0" w:color="auto"/>
            <w:left w:val="none" w:sz="0" w:space="0" w:color="auto"/>
            <w:bottom w:val="none" w:sz="0" w:space="0" w:color="auto"/>
            <w:right w:val="none" w:sz="0" w:space="0" w:color="auto"/>
          </w:divBdr>
        </w:div>
        <w:div w:id="1955290249">
          <w:marLeft w:val="547"/>
          <w:marRight w:val="0"/>
          <w:marTop w:val="106"/>
          <w:marBottom w:val="0"/>
          <w:divBdr>
            <w:top w:val="none" w:sz="0" w:space="0" w:color="auto"/>
            <w:left w:val="none" w:sz="0" w:space="0" w:color="auto"/>
            <w:bottom w:val="none" w:sz="0" w:space="0" w:color="auto"/>
            <w:right w:val="none" w:sz="0" w:space="0" w:color="auto"/>
          </w:divBdr>
        </w:div>
        <w:div w:id="2093894359">
          <w:marLeft w:val="547"/>
          <w:marRight w:val="0"/>
          <w:marTop w:val="106"/>
          <w:marBottom w:val="0"/>
          <w:divBdr>
            <w:top w:val="none" w:sz="0" w:space="0" w:color="auto"/>
            <w:left w:val="none" w:sz="0" w:space="0" w:color="auto"/>
            <w:bottom w:val="none" w:sz="0" w:space="0" w:color="auto"/>
            <w:right w:val="none" w:sz="0" w:space="0" w:color="auto"/>
          </w:divBdr>
        </w:div>
      </w:divsChild>
    </w:div>
    <w:div w:id="884295516">
      <w:bodyDiv w:val="1"/>
      <w:marLeft w:val="0"/>
      <w:marRight w:val="0"/>
      <w:marTop w:val="0"/>
      <w:marBottom w:val="0"/>
      <w:divBdr>
        <w:top w:val="none" w:sz="0" w:space="0" w:color="auto"/>
        <w:left w:val="none" w:sz="0" w:space="0" w:color="auto"/>
        <w:bottom w:val="none" w:sz="0" w:space="0" w:color="auto"/>
        <w:right w:val="none" w:sz="0" w:space="0" w:color="auto"/>
      </w:divBdr>
      <w:divsChild>
        <w:div w:id="197160664">
          <w:marLeft w:val="806"/>
          <w:marRight w:val="0"/>
          <w:marTop w:val="125"/>
          <w:marBottom w:val="0"/>
          <w:divBdr>
            <w:top w:val="none" w:sz="0" w:space="0" w:color="auto"/>
            <w:left w:val="none" w:sz="0" w:space="0" w:color="auto"/>
            <w:bottom w:val="none" w:sz="0" w:space="0" w:color="auto"/>
            <w:right w:val="none" w:sz="0" w:space="0" w:color="auto"/>
          </w:divBdr>
        </w:div>
        <w:div w:id="268436385">
          <w:marLeft w:val="806"/>
          <w:marRight w:val="0"/>
          <w:marTop w:val="125"/>
          <w:marBottom w:val="0"/>
          <w:divBdr>
            <w:top w:val="none" w:sz="0" w:space="0" w:color="auto"/>
            <w:left w:val="none" w:sz="0" w:space="0" w:color="auto"/>
            <w:bottom w:val="none" w:sz="0" w:space="0" w:color="auto"/>
            <w:right w:val="none" w:sz="0" w:space="0" w:color="auto"/>
          </w:divBdr>
        </w:div>
        <w:div w:id="700545869">
          <w:marLeft w:val="806"/>
          <w:marRight w:val="0"/>
          <w:marTop w:val="125"/>
          <w:marBottom w:val="0"/>
          <w:divBdr>
            <w:top w:val="none" w:sz="0" w:space="0" w:color="auto"/>
            <w:left w:val="none" w:sz="0" w:space="0" w:color="auto"/>
            <w:bottom w:val="none" w:sz="0" w:space="0" w:color="auto"/>
            <w:right w:val="none" w:sz="0" w:space="0" w:color="auto"/>
          </w:divBdr>
        </w:div>
        <w:div w:id="970599574">
          <w:marLeft w:val="547"/>
          <w:marRight w:val="0"/>
          <w:marTop w:val="125"/>
          <w:marBottom w:val="0"/>
          <w:divBdr>
            <w:top w:val="none" w:sz="0" w:space="0" w:color="auto"/>
            <w:left w:val="none" w:sz="0" w:space="0" w:color="auto"/>
            <w:bottom w:val="none" w:sz="0" w:space="0" w:color="auto"/>
            <w:right w:val="none" w:sz="0" w:space="0" w:color="auto"/>
          </w:divBdr>
        </w:div>
        <w:div w:id="1181965434">
          <w:marLeft w:val="547"/>
          <w:marRight w:val="0"/>
          <w:marTop w:val="125"/>
          <w:marBottom w:val="0"/>
          <w:divBdr>
            <w:top w:val="none" w:sz="0" w:space="0" w:color="auto"/>
            <w:left w:val="none" w:sz="0" w:space="0" w:color="auto"/>
            <w:bottom w:val="none" w:sz="0" w:space="0" w:color="auto"/>
            <w:right w:val="none" w:sz="0" w:space="0" w:color="auto"/>
          </w:divBdr>
        </w:div>
        <w:div w:id="1975284839">
          <w:marLeft w:val="806"/>
          <w:marRight w:val="0"/>
          <w:marTop w:val="125"/>
          <w:marBottom w:val="0"/>
          <w:divBdr>
            <w:top w:val="none" w:sz="0" w:space="0" w:color="auto"/>
            <w:left w:val="none" w:sz="0" w:space="0" w:color="auto"/>
            <w:bottom w:val="none" w:sz="0" w:space="0" w:color="auto"/>
            <w:right w:val="none" w:sz="0" w:space="0" w:color="auto"/>
          </w:divBdr>
        </w:div>
      </w:divsChild>
    </w:div>
    <w:div w:id="1113019304">
      <w:bodyDiv w:val="1"/>
      <w:marLeft w:val="0"/>
      <w:marRight w:val="0"/>
      <w:marTop w:val="0"/>
      <w:marBottom w:val="0"/>
      <w:divBdr>
        <w:top w:val="none" w:sz="0" w:space="0" w:color="auto"/>
        <w:left w:val="none" w:sz="0" w:space="0" w:color="auto"/>
        <w:bottom w:val="none" w:sz="0" w:space="0" w:color="auto"/>
        <w:right w:val="none" w:sz="0" w:space="0" w:color="auto"/>
      </w:divBdr>
    </w:div>
    <w:div w:id="1122725898">
      <w:bodyDiv w:val="1"/>
      <w:marLeft w:val="0"/>
      <w:marRight w:val="0"/>
      <w:marTop w:val="0"/>
      <w:marBottom w:val="0"/>
      <w:divBdr>
        <w:top w:val="none" w:sz="0" w:space="0" w:color="auto"/>
        <w:left w:val="none" w:sz="0" w:space="0" w:color="auto"/>
        <w:bottom w:val="none" w:sz="0" w:space="0" w:color="auto"/>
        <w:right w:val="none" w:sz="0" w:space="0" w:color="auto"/>
      </w:divBdr>
    </w:div>
    <w:div w:id="1231119069">
      <w:bodyDiv w:val="1"/>
      <w:marLeft w:val="0"/>
      <w:marRight w:val="0"/>
      <w:marTop w:val="0"/>
      <w:marBottom w:val="0"/>
      <w:divBdr>
        <w:top w:val="none" w:sz="0" w:space="0" w:color="auto"/>
        <w:left w:val="none" w:sz="0" w:space="0" w:color="auto"/>
        <w:bottom w:val="none" w:sz="0" w:space="0" w:color="auto"/>
        <w:right w:val="none" w:sz="0" w:space="0" w:color="auto"/>
      </w:divBdr>
      <w:divsChild>
        <w:div w:id="153642599">
          <w:marLeft w:val="547"/>
          <w:marRight w:val="0"/>
          <w:marTop w:val="144"/>
          <w:marBottom w:val="0"/>
          <w:divBdr>
            <w:top w:val="none" w:sz="0" w:space="0" w:color="auto"/>
            <w:left w:val="none" w:sz="0" w:space="0" w:color="auto"/>
            <w:bottom w:val="none" w:sz="0" w:space="0" w:color="auto"/>
            <w:right w:val="none" w:sz="0" w:space="0" w:color="auto"/>
          </w:divBdr>
        </w:div>
        <w:div w:id="642737939">
          <w:marLeft w:val="547"/>
          <w:marRight w:val="0"/>
          <w:marTop w:val="144"/>
          <w:marBottom w:val="0"/>
          <w:divBdr>
            <w:top w:val="none" w:sz="0" w:space="0" w:color="auto"/>
            <w:left w:val="none" w:sz="0" w:space="0" w:color="auto"/>
            <w:bottom w:val="none" w:sz="0" w:space="0" w:color="auto"/>
            <w:right w:val="none" w:sz="0" w:space="0" w:color="auto"/>
          </w:divBdr>
        </w:div>
        <w:div w:id="1411073578">
          <w:marLeft w:val="547"/>
          <w:marRight w:val="0"/>
          <w:marTop w:val="144"/>
          <w:marBottom w:val="0"/>
          <w:divBdr>
            <w:top w:val="none" w:sz="0" w:space="0" w:color="auto"/>
            <w:left w:val="none" w:sz="0" w:space="0" w:color="auto"/>
            <w:bottom w:val="none" w:sz="0" w:space="0" w:color="auto"/>
            <w:right w:val="none" w:sz="0" w:space="0" w:color="auto"/>
          </w:divBdr>
        </w:div>
        <w:div w:id="2065517298">
          <w:marLeft w:val="547"/>
          <w:marRight w:val="0"/>
          <w:marTop w:val="144"/>
          <w:marBottom w:val="0"/>
          <w:divBdr>
            <w:top w:val="none" w:sz="0" w:space="0" w:color="auto"/>
            <w:left w:val="none" w:sz="0" w:space="0" w:color="auto"/>
            <w:bottom w:val="none" w:sz="0" w:space="0" w:color="auto"/>
            <w:right w:val="none" w:sz="0" w:space="0" w:color="auto"/>
          </w:divBdr>
        </w:div>
      </w:divsChild>
    </w:div>
    <w:div w:id="1584411511">
      <w:bodyDiv w:val="1"/>
      <w:marLeft w:val="0"/>
      <w:marRight w:val="0"/>
      <w:marTop w:val="0"/>
      <w:marBottom w:val="0"/>
      <w:divBdr>
        <w:top w:val="none" w:sz="0" w:space="0" w:color="auto"/>
        <w:left w:val="none" w:sz="0" w:space="0" w:color="auto"/>
        <w:bottom w:val="none" w:sz="0" w:space="0" w:color="auto"/>
        <w:right w:val="none" w:sz="0" w:space="0" w:color="auto"/>
      </w:divBdr>
      <w:divsChild>
        <w:div w:id="24645760">
          <w:marLeft w:val="547"/>
          <w:marRight w:val="0"/>
          <w:marTop w:val="130"/>
          <w:marBottom w:val="0"/>
          <w:divBdr>
            <w:top w:val="none" w:sz="0" w:space="0" w:color="auto"/>
            <w:left w:val="none" w:sz="0" w:space="0" w:color="auto"/>
            <w:bottom w:val="none" w:sz="0" w:space="0" w:color="auto"/>
            <w:right w:val="none" w:sz="0" w:space="0" w:color="auto"/>
          </w:divBdr>
        </w:div>
        <w:div w:id="611548075">
          <w:marLeft w:val="547"/>
          <w:marRight w:val="0"/>
          <w:marTop w:val="130"/>
          <w:marBottom w:val="0"/>
          <w:divBdr>
            <w:top w:val="none" w:sz="0" w:space="0" w:color="auto"/>
            <w:left w:val="none" w:sz="0" w:space="0" w:color="auto"/>
            <w:bottom w:val="none" w:sz="0" w:space="0" w:color="auto"/>
            <w:right w:val="none" w:sz="0" w:space="0" w:color="auto"/>
          </w:divBdr>
        </w:div>
        <w:div w:id="1678115834">
          <w:marLeft w:val="547"/>
          <w:marRight w:val="0"/>
          <w:marTop w:val="130"/>
          <w:marBottom w:val="0"/>
          <w:divBdr>
            <w:top w:val="none" w:sz="0" w:space="0" w:color="auto"/>
            <w:left w:val="none" w:sz="0" w:space="0" w:color="auto"/>
            <w:bottom w:val="none" w:sz="0" w:space="0" w:color="auto"/>
            <w:right w:val="none" w:sz="0" w:space="0" w:color="auto"/>
          </w:divBdr>
        </w:div>
        <w:div w:id="1799182625">
          <w:marLeft w:val="547"/>
          <w:marRight w:val="0"/>
          <w:marTop w:val="130"/>
          <w:marBottom w:val="0"/>
          <w:divBdr>
            <w:top w:val="none" w:sz="0" w:space="0" w:color="auto"/>
            <w:left w:val="none" w:sz="0" w:space="0" w:color="auto"/>
            <w:bottom w:val="none" w:sz="0" w:space="0" w:color="auto"/>
            <w:right w:val="none" w:sz="0" w:space="0" w:color="auto"/>
          </w:divBdr>
        </w:div>
        <w:div w:id="2085102730">
          <w:marLeft w:val="547"/>
          <w:marRight w:val="0"/>
          <w:marTop w:val="130"/>
          <w:marBottom w:val="0"/>
          <w:divBdr>
            <w:top w:val="none" w:sz="0" w:space="0" w:color="auto"/>
            <w:left w:val="none" w:sz="0" w:space="0" w:color="auto"/>
            <w:bottom w:val="none" w:sz="0" w:space="0" w:color="auto"/>
            <w:right w:val="none" w:sz="0" w:space="0" w:color="auto"/>
          </w:divBdr>
        </w:div>
      </w:divsChild>
    </w:div>
    <w:div w:id="1629972938">
      <w:bodyDiv w:val="1"/>
      <w:marLeft w:val="0"/>
      <w:marRight w:val="0"/>
      <w:marTop w:val="0"/>
      <w:marBottom w:val="0"/>
      <w:divBdr>
        <w:top w:val="none" w:sz="0" w:space="0" w:color="auto"/>
        <w:left w:val="none" w:sz="0" w:space="0" w:color="auto"/>
        <w:bottom w:val="none" w:sz="0" w:space="0" w:color="auto"/>
        <w:right w:val="none" w:sz="0" w:space="0" w:color="auto"/>
      </w:divBdr>
      <w:divsChild>
        <w:div w:id="92016153">
          <w:marLeft w:val="547"/>
          <w:marRight w:val="0"/>
          <w:marTop w:val="96"/>
          <w:marBottom w:val="0"/>
          <w:divBdr>
            <w:top w:val="none" w:sz="0" w:space="0" w:color="auto"/>
            <w:left w:val="none" w:sz="0" w:space="0" w:color="auto"/>
            <w:bottom w:val="none" w:sz="0" w:space="0" w:color="auto"/>
            <w:right w:val="none" w:sz="0" w:space="0" w:color="auto"/>
          </w:divBdr>
        </w:div>
        <w:div w:id="192886360">
          <w:marLeft w:val="806"/>
          <w:marRight w:val="0"/>
          <w:marTop w:val="86"/>
          <w:marBottom w:val="0"/>
          <w:divBdr>
            <w:top w:val="none" w:sz="0" w:space="0" w:color="auto"/>
            <w:left w:val="none" w:sz="0" w:space="0" w:color="auto"/>
            <w:bottom w:val="none" w:sz="0" w:space="0" w:color="auto"/>
            <w:right w:val="none" w:sz="0" w:space="0" w:color="auto"/>
          </w:divBdr>
        </w:div>
        <w:div w:id="278873651">
          <w:marLeft w:val="547"/>
          <w:marRight w:val="0"/>
          <w:marTop w:val="96"/>
          <w:marBottom w:val="0"/>
          <w:divBdr>
            <w:top w:val="none" w:sz="0" w:space="0" w:color="auto"/>
            <w:left w:val="none" w:sz="0" w:space="0" w:color="auto"/>
            <w:bottom w:val="none" w:sz="0" w:space="0" w:color="auto"/>
            <w:right w:val="none" w:sz="0" w:space="0" w:color="auto"/>
          </w:divBdr>
        </w:div>
        <w:div w:id="519929665">
          <w:marLeft w:val="806"/>
          <w:marRight w:val="0"/>
          <w:marTop w:val="86"/>
          <w:marBottom w:val="0"/>
          <w:divBdr>
            <w:top w:val="none" w:sz="0" w:space="0" w:color="auto"/>
            <w:left w:val="none" w:sz="0" w:space="0" w:color="auto"/>
            <w:bottom w:val="none" w:sz="0" w:space="0" w:color="auto"/>
            <w:right w:val="none" w:sz="0" w:space="0" w:color="auto"/>
          </w:divBdr>
        </w:div>
        <w:div w:id="1008022735">
          <w:marLeft w:val="547"/>
          <w:marRight w:val="0"/>
          <w:marTop w:val="96"/>
          <w:marBottom w:val="0"/>
          <w:divBdr>
            <w:top w:val="none" w:sz="0" w:space="0" w:color="auto"/>
            <w:left w:val="none" w:sz="0" w:space="0" w:color="auto"/>
            <w:bottom w:val="none" w:sz="0" w:space="0" w:color="auto"/>
            <w:right w:val="none" w:sz="0" w:space="0" w:color="auto"/>
          </w:divBdr>
        </w:div>
        <w:div w:id="1253320806">
          <w:marLeft w:val="547"/>
          <w:marRight w:val="0"/>
          <w:marTop w:val="96"/>
          <w:marBottom w:val="0"/>
          <w:divBdr>
            <w:top w:val="none" w:sz="0" w:space="0" w:color="auto"/>
            <w:left w:val="none" w:sz="0" w:space="0" w:color="auto"/>
            <w:bottom w:val="none" w:sz="0" w:space="0" w:color="auto"/>
            <w:right w:val="none" w:sz="0" w:space="0" w:color="auto"/>
          </w:divBdr>
        </w:div>
        <w:div w:id="1557207351">
          <w:marLeft w:val="547"/>
          <w:marRight w:val="0"/>
          <w:marTop w:val="96"/>
          <w:marBottom w:val="0"/>
          <w:divBdr>
            <w:top w:val="none" w:sz="0" w:space="0" w:color="auto"/>
            <w:left w:val="none" w:sz="0" w:space="0" w:color="auto"/>
            <w:bottom w:val="none" w:sz="0" w:space="0" w:color="auto"/>
            <w:right w:val="none" w:sz="0" w:space="0" w:color="auto"/>
          </w:divBdr>
        </w:div>
        <w:div w:id="1612515489">
          <w:marLeft w:val="547"/>
          <w:marRight w:val="0"/>
          <w:marTop w:val="96"/>
          <w:marBottom w:val="0"/>
          <w:divBdr>
            <w:top w:val="none" w:sz="0" w:space="0" w:color="auto"/>
            <w:left w:val="none" w:sz="0" w:space="0" w:color="auto"/>
            <w:bottom w:val="none" w:sz="0" w:space="0" w:color="auto"/>
            <w:right w:val="none" w:sz="0" w:space="0" w:color="auto"/>
          </w:divBdr>
        </w:div>
      </w:divsChild>
    </w:div>
    <w:div w:id="1782991213">
      <w:bodyDiv w:val="1"/>
      <w:marLeft w:val="0"/>
      <w:marRight w:val="0"/>
      <w:marTop w:val="0"/>
      <w:marBottom w:val="0"/>
      <w:divBdr>
        <w:top w:val="none" w:sz="0" w:space="0" w:color="auto"/>
        <w:left w:val="none" w:sz="0" w:space="0" w:color="auto"/>
        <w:bottom w:val="none" w:sz="0" w:space="0" w:color="auto"/>
        <w:right w:val="none" w:sz="0" w:space="0" w:color="auto"/>
      </w:divBdr>
      <w:divsChild>
        <w:div w:id="293173785">
          <w:marLeft w:val="547"/>
          <w:marRight w:val="0"/>
          <w:marTop w:val="120"/>
          <w:marBottom w:val="0"/>
          <w:divBdr>
            <w:top w:val="none" w:sz="0" w:space="0" w:color="auto"/>
            <w:left w:val="none" w:sz="0" w:space="0" w:color="auto"/>
            <w:bottom w:val="none" w:sz="0" w:space="0" w:color="auto"/>
            <w:right w:val="none" w:sz="0" w:space="0" w:color="auto"/>
          </w:divBdr>
        </w:div>
        <w:div w:id="293218670">
          <w:marLeft w:val="547"/>
          <w:marRight w:val="0"/>
          <w:marTop w:val="120"/>
          <w:marBottom w:val="0"/>
          <w:divBdr>
            <w:top w:val="none" w:sz="0" w:space="0" w:color="auto"/>
            <w:left w:val="none" w:sz="0" w:space="0" w:color="auto"/>
            <w:bottom w:val="none" w:sz="0" w:space="0" w:color="auto"/>
            <w:right w:val="none" w:sz="0" w:space="0" w:color="auto"/>
          </w:divBdr>
        </w:div>
        <w:div w:id="461190444">
          <w:marLeft w:val="547"/>
          <w:marRight w:val="0"/>
          <w:marTop w:val="120"/>
          <w:marBottom w:val="0"/>
          <w:divBdr>
            <w:top w:val="none" w:sz="0" w:space="0" w:color="auto"/>
            <w:left w:val="none" w:sz="0" w:space="0" w:color="auto"/>
            <w:bottom w:val="none" w:sz="0" w:space="0" w:color="auto"/>
            <w:right w:val="none" w:sz="0" w:space="0" w:color="auto"/>
          </w:divBdr>
        </w:div>
        <w:div w:id="610823734">
          <w:marLeft w:val="547"/>
          <w:marRight w:val="0"/>
          <w:marTop w:val="120"/>
          <w:marBottom w:val="0"/>
          <w:divBdr>
            <w:top w:val="none" w:sz="0" w:space="0" w:color="auto"/>
            <w:left w:val="none" w:sz="0" w:space="0" w:color="auto"/>
            <w:bottom w:val="none" w:sz="0" w:space="0" w:color="auto"/>
            <w:right w:val="none" w:sz="0" w:space="0" w:color="auto"/>
          </w:divBdr>
        </w:div>
        <w:div w:id="995569805">
          <w:marLeft w:val="547"/>
          <w:marRight w:val="0"/>
          <w:marTop w:val="120"/>
          <w:marBottom w:val="0"/>
          <w:divBdr>
            <w:top w:val="none" w:sz="0" w:space="0" w:color="auto"/>
            <w:left w:val="none" w:sz="0" w:space="0" w:color="auto"/>
            <w:bottom w:val="none" w:sz="0" w:space="0" w:color="auto"/>
            <w:right w:val="none" w:sz="0" w:space="0" w:color="auto"/>
          </w:divBdr>
        </w:div>
        <w:div w:id="1135413990">
          <w:marLeft w:val="547"/>
          <w:marRight w:val="0"/>
          <w:marTop w:val="120"/>
          <w:marBottom w:val="0"/>
          <w:divBdr>
            <w:top w:val="none" w:sz="0" w:space="0" w:color="auto"/>
            <w:left w:val="none" w:sz="0" w:space="0" w:color="auto"/>
            <w:bottom w:val="none" w:sz="0" w:space="0" w:color="auto"/>
            <w:right w:val="none" w:sz="0" w:space="0" w:color="auto"/>
          </w:divBdr>
        </w:div>
      </w:divsChild>
    </w:div>
    <w:div w:id="2086486671">
      <w:bodyDiv w:val="1"/>
      <w:marLeft w:val="0"/>
      <w:marRight w:val="0"/>
      <w:marTop w:val="0"/>
      <w:marBottom w:val="0"/>
      <w:divBdr>
        <w:top w:val="none" w:sz="0" w:space="0" w:color="auto"/>
        <w:left w:val="none" w:sz="0" w:space="0" w:color="auto"/>
        <w:bottom w:val="none" w:sz="0" w:space="0" w:color="auto"/>
        <w:right w:val="none" w:sz="0" w:space="0" w:color="auto"/>
      </w:divBdr>
      <w:divsChild>
        <w:div w:id="140655050">
          <w:marLeft w:val="547"/>
          <w:marRight w:val="0"/>
          <w:marTop w:val="120"/>
          <w:marBottom w:val="0"/>
          <w:divBdr>
            <w:top w:val="none" w:sz="0" w:space="0" w:color="auto"/>
            <w:left w:val="none" w:sz="0" w:space="0" w:color="auto"/>
            <w:bottom w:val="none" w:sz="0" w:space="0" w:color="auto"/>
            <w:right w:val="none" w:sz="0" w:space="0" w:color="auto"/>
          </w:divBdr>
        </w:div>
        <w:div w:id="834340938">
          <w:marLeft w:val="547"/>
          <w:marRight w:val="0"/>
          <w:marTop w:val="120"/>
          <w:marBottom w:val="0"/>
          <w:divBdr>
            <w:top w:val="none" w:sz="0" w:space="0" w:color="auto"/>
            <w:left w:val="none" w:sz="0" w:space="0" w:color="auto"/>
            <w:bottom w:val="none" w:sz="0" w:space="0" w:color="auto"/>
            <w:right w:val="none" w:sz="0" w:space="0" w:color="auto"/>
          </w:divBdr>
        </w:div>
        <w:div w:id="939534879">
          <w:marLeft w:val="547"/>
          <w:marRight w:val="0"/>
          <w:marTop w:val="120"/>
          <w:marBottom w:val="0"/>
          <w:divBdr>
            <w:top w:val="none" w:sz="0" w:space="0" w:color="auto"/>
            <w:left w:val="none" w:sz="0" w:space="0" w:color="auto"/>
            <w:bottom w:val="none" w:sz="0" w:space="0" w:color="auto"/>
            <w:right w:val="none" w:sz="0" w:space="0" w:color="auto"/>
          </w:divBdr>
        </w:div>
        <w:div w:id="1069186123">
          <w:marLeft w:val="547"/>
          <w:marRight w:val="0"/>
          <w:marTop w:val="120"/>
          <w:marBottom w:val="0"/>
          <w:divBdr>
            <w:top w:val="none" w:sz="0" w:space="0" w:color="auto"/>
            <w:left w:val="none" w:sz="0" w:space="0" w:color="auto"/>
            <w:bottom w:val="none" w:sz="0" w:space="0" w:color="auto"/>
            <w:right w:val="none" w:sz="0" w:space="0" w:color="auto"/>
          </w:divBdr>
        </w:div>
        <w:div w:id="1261529733">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PowerPoint_Slide2.sldx"/><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package" Target="embeddings/Microsoft_PowerPoint_Slide3.sld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package" Target="embeddings/Microsoft_PowerPoint_Slide1.sldx"/><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AAA50-2F26-4BEC-8547-642B146D6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4511</Words>
  <Characters>25716</Characters>
  <Application>Microsoft Office Word</Application>
  <DocSecurity>0</DocSecurity>
  <Lines>214</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Koyama</dc:creator>
  <cp:lastModifiedBy>tnaito</cp:lastModifiedBy>
  <cp:revision>2</cp:revision>
  <cp:lastPrinted>2014-11-27T01:14:00Z</cp:lastPrinted>
  <dcterms:created xsi:type="dcterms:W3CDTF">2014-12-15T03:23:00Z</dcterms:created>
  <dcterms:modified xsi:type="dcterms:W3CDTF">2014-12-15T03:23:00Z</dcterms:modified>
</cp:coreProperties>
</file>